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rFonts w:ascii="Cambria" w:hAnsi="Cambria"/>
          <w:b/>
          <w:color w:val="000000"/>
          <w:sz w:val="32"/>
          <w:szCs w:val="32"/>
          <w:u w:val="single"/>
        </w:rPr>
      </w:pPr>
    </w:p>
    <w:p>
      <w:pPr>
        <w:adjustRightInd w:val="0"/>
        <w:snapToGrid w:val="0"/>
        <w:jc w:val="center"/>
        <w:rPr>
          <w:rFonts w:ascii="Cambria" w:hAnsi="Cambria"/>
          <w:b/>
          <w:color w:val="000000" w:themeColor="text1"/>
          <w:sz w:val="32"/>
          <w:szCs w:val="32"/>
          <w:u w:val="single"/>
          <w14:textFill>
            <w14:solidFill>
              <w14:schemeClr w14:val="tx1"/>
            </w14:solidFill>
          </w14:textFill>
        </w:rPr>
      </w:pPr>
    </w:p>
    <w:p>
      <w:pPr>
        <w:autoSpaceDE w:val="0"/>
        <w:autoSpaceDN w:val="0"/>
        <w:jc w:val="center"/>
        <w:rPr>
          <w:rFonts w:ascii="黑体" w:hAnsi="黑体" w:eastAsia="黑体"/>
          <w:color w:val="000000" w:themeColor="text1"/>
          <w:kern w:val="0"/>
          <w:sz w:val="44"/>
          <w:szCs w:val="44"/>
          <w14:textFill>
            <w14:solidFill>
              <w14:schemeClr w14:val="tx1"/>
            </w14:solidFill>
          </w14:textFill>
        </w:rPr>
      </w:pPr>
    </w:p>
    <w:p>
      <w:pPr>
        <w:autoSpaceDE w:val="0"/>
        <w:autoSpaceDN w:val="0"/>
        <w:jc w:val="center"/>
        <w:rPr>
          <w:rFonts w:ascii="黑体" w:hAnsi="黑体" w:eastAsia="黑体"/>
          <w:color w:val="000000" w:themeColor="text1"/>
          <w:kern w:val="0"/>
          <w:sz w:val="44"/>
          <w:szCs w:val="44"/>
          <w14:textFill>
            <w14:solidFill>
              <w14:schemeClr w14:val="tx1"/>
            </w14:solidFill>
          </w14:textFill>
        </w:rPr>
      </w:pPr>
    </w:p>
    <w:p>
      <w:pPr>
        <w:jc w:val="center"/>
        <w:rPr>
          <w:rFonts w:ascii="黑体" w:hAnsi="黑体" w:eastAsia="黑体"/>
          <w:bCs/>
          <w:snapToGrid w:val="0"/>
          <w:color w:val="000000" w:themeColor="text1"/>
          <w:sz w:val="44"/>
          <w:szCs w:val="44"/>
          <w14:textFill>
            <w14:solidFill>
              <w14:schemeClr w14:val="tx1"/>
            </w14:solidFill>
          </w14:textFill>
        </w:rPr>
      </w:pPr>
      <w:r>
        <w:rPr>
          <w:rFonts w:hint="eastAsia" w:ascii="黑体" w:hAnsi="黑体" w:eastAsia="黑体"/>
          <w:bCs/>
          <w:snapToGrid w:val="0"/>
          <w:color w:val="000000" w:themeColor="text1"/>
          <w:sz w:val="44"/>
          <w:szCs w:val="44"/>
          <w14:textFill>
            <w14:solidFill>
              <w14:schemeClr w14:val="tx1"/>
            </w14:solidFill>
          </w14:textFill>
        </w:rPr>
        <w:t>淮阴工学院</w:t>
      </w:r>
    </w:p>
    <w:p>
      <w:pPr>
        <w:ind w:left="-84" w:leftChars="-90" w:hanging="105" w:hangingChars="24"/>
        <w:jc w:val="center"/>
        <w:rPr>
          <w:rFonts w:ascii="黑体" w:hAnsi="黑体" w:eastAsia="黑体"/>
          <w:b/>
          <w:snapToGrid w:val="0"/>
          <w:color w:val="000000" w:themeColor="text1"/>
          <w:sz w:val="44"/>
          <w:szCs w:val="44"/>
          <w14:textFill>
            <w14:solidFill>
              <w14:schemeClr w14:val="tx1"/>
            </w14:solidFill>
          </w14:textFill>
        </w:rPr>
      </w:pPr>
      <w:r>
        <w:rPr>
          <w:rFonts w:hint="eastAsia" w:ascii="黑体" w:hAnsi="黑体" w:eastAsia="黑体"/>
          <w:color w:val="000000"/>
          <w:kern w:val="0"/>
          <w:sz w:val="44"/>
          <w:szCs w:val="44"/>
        </w:rPr>
        <w:t>外国语学院语言实验室设备采购与安装</w:t>
      </w: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22" w:leftChars="-90" w:hanging="67" w:hangingChars="24"/>
        <w:jc w:val="center"/>
        <w:rPr>
          <w:rFonts w:ascii="黑体" w:hAnsi="黑体" w:eastAsia="黑体"/>
          <w:b/>
          <w:snapToGrid w:val="0"/>
          <w:color w:val="000000" w:themeColor="text1"/>
          <w:sz w:val="28"/>
          <w:szCs w:val="28"/>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jc w:val="center"/>
        <w:rPr>
          <w:rFonts w:ascii="黑体" w:hAnsi="黑体" w:eastAsia="黑体"/>
          <w:b/>
          <w:snapToGrid w:val="0"/>
          <w:color w:val="000000" w:themeColor="text1"/>
          <w:sz w:val="84"/>
          <w:szCs w:val="84"/>
          <w14:textFill>
            <w14:solidFill>
              <w14:schemeClr w14:val="tx1"/>
            </w14:solidFill>
          </w14:textFill>
        </w:rPr>
      </w:pPr>
      <w:r>
        <w:rPr>
          <w:rFonts w:hint="eastAsia" w:ascii="黑体" w:hAnsi="黑体" w:eastAsia="黑体"/>
          <w:b/>
          <w:snapToGrid w:val="0"/>
          <w:color w:val="000000" w:themeColor="text1"/>
          <w:sz w:val="84"/>
          <w:szCs w:val="84"/>
          <w14:textFill>
            <w14:solidFill>
              <w14:schemeClr w14:val="tx1"/>
            </w14:solidFill>
          </w14:textFill>
        </w:rPr>
        <w:t>招标文件</w:t>
      </w:r>
    </w:p>
    <w:p>
      <w:pPr>
        <w:pStyle w:val="7"/>
        <w:adjustRightInd w:val="0"/>
        <w:snapToGrid w:val="0"/>
        <w:jc w:val="center"/>
        <w:rPr>
          <w:rFonts w:ascii="黑体" w:hAnsi="黑体" w:eastAsia="黑体"/>
          <w:color w:val="000000" w:themeColor="text1"/>
          <w14:textFill>
            <w14:solidFill>
              <w14:schemeClr w14:val="tx1"/>
            </w14:solidFill>
          </w14:textFill>
        </w:rPr>
      </w:pPr>
    </w:p>
    <w:p>
      <w:pPr>
        <w:adjustRightInd w:val="0"/>
        <w:snapToGrid w:val="0"/>
        <w:jc w:val="center"/>
        <w:rPr>
          <w:rFonts w:hint="default" w:ascii="宋体" w:eastAsia="宋体"/>
          <w:snapToGrid w:val="0"/>
          <w:color w:val="000000" w:themeColor="text1"/>
          <w:sz w:val="24"/>
          <w:szCs w:val="24"/>
          <w:lang w:val="en-US" w:eastAsia="zh-CN"/>
          <w14:textFill>
            <w14:solidFill>
              <w14:schemeClr w14:val="tx1"/>
            </w14:solidFill>
          </w14:textFill>
        </w:rPr>
      </w:pPr>
      <w:r>
        <w:rPr>
          <w:rFonts w:hint="eastAsia" w:ascii="宋体" w:hAnsi="宋体"/>
          <w:snapToGrid w:val="0"/>
          <w:color w:val="000000" w:themeColor="text1"/>
          <w:sz w:val="24"/>
          <w:szCs w:val="24"/>
          <w14:textFill>
            <w14:solidFill>
              <w14:schemeClr w14:val="tx1"/>
            </w14:solidFill>
          </w14:textFill>
        </w:rPr>
        <w:t>项目编号：</w:t>
      </w:r>
      <w:r>
        <w:rPr>
          <w:rFonts w:ascii="宋体" w:hAnsi="宋体"/>
          <w:snapToGrid w:val="0"/>
          <w:color w:val="000000" w:themeColor="text1"/>
          <w:sz w:val="24"/>
          <w:szCs w:val="24"/>
          <w14:textFill>
            <w14:solidFill>
              <w14:schemeClr w14:val="tx1"/>
            </w14:solidFill>
          </w14:textFill>
        </w:rPr>
        <w:t>HGZB</w:t>
      </w:r>
      <w:r>
        <w:rPr>
          <w:rFonts w:hint="eastAsia" w:ascii="宋体" w:hAnsi="宋体"/>
          <w:snapToGrid w:val="0"/>
          <w:color w:val="000000" w:themeColor="text1"/>
          <w:sz w:val="24"/>
          <w:szCs w:val="24"/>
          <w14:textFill>
            <w14:solidFill>
              <w14:schemeClr w14:val="tx1"/>
            </w14:solidFill>
          </w14:textFill>
        </w:rPr>
        <w:t>202000</w:t>
      </w:r>
      <w:r>
        <w:rPr>
          <w:rFonts w:hint="eastAsia" w:ascii="宋体" w:hAnsi="宋体"/>
          <w:snapToGrid w:val="0"/>
          <w:color w:val="000000" w:themeColor="text1"/>
          <w:sz w:val="24"/>
          <w:szCs w:val="24"/>
          <w:lang w:val="en-US" w:eastAsia="zh-CN"/>
          <w14:textFill>
            <w14:solidFill>
              <w14:schemeClr w14:val="tx1"/>
            </w14:solidFill>
          </w14:textFill>
        </w:rPr>
        <w:t>66</w:t>
      </w:r>
    </w:p>
    <w:p>
      <w:pPr>
        <w:adjustRightInd w:val="0"/>
        <w:snapToGrid w:val="0"/>
        <w:jc w:val="center"/>
        <w:rPr>
          <w:rFonts w:ascii="黑体" w:hAnsi="黑体" w:eastAsia="黑体"/>
          <w:snapToGrid w:val="0"/>
          <w:color w:val="000000" w:themeColor="text1"/>
          <w:szCs w:val="21"/>
          <w14:textFill>
            <w14:solidFill>
              <w14:schemeClr w14:val="tx1"/>
            </w14:solidFill>
          </w14:textFill>
        </w:rPr>
      </w:pPr>
    </w:p>
    <w:p>
      <w:pPr>
        <w:adjustRightInd w:val="0"/>
        <w:snapToGrid w:val="0"/>
        <w:jc w:val="center"/>
        <w:rPr>
          <w:rFonts w:ascii="黑体" w:hAnsi="黑体" w:eastAsia="黑体"/>
          <w:snapToGrid w:val="0"/>
          <w:color w:val="000000" w:themeColor="text1"/>
          <w:szCs w:val="21"/>
          <w14:textFill>
            <w14:solidFill>
              <w14:schemeClr w14:val="tx1"/>
            </w14:solidFill>
          </w14:textFill>
        </w:rPr>
      </w:pPr>
    </w:p>
    <w:p>
      <w:pPr>
        <w:adjustRightInd w:val="0"/>
        <w:snapToGrid w:val="0"/>
        <w:jc w:val="center"/>
        <w:rPr>
          <w:rFonts w:ascii="黑体" w:hAnsi="黑体" w:eastAsia="黑体"/>
          <w:snapToGrid w:val="0"/>
          <w:color w:val="000000" w:themeColor="text1"/>
          <w:szCs w:val="21"/>
          <w14:textFill>
            <w14:solidFill>
              <w14:schemeClr w14:val="tx1"/>
            </w14:solidFill>
          </w14:textFill>
        </w:rPr>
      </w:pPr>
    </w:p>
    <w:p>
      <w:pPr>
        <w:adjustRightInd w:val="0"/>
        <w:snapToGrid w:val="0"/>
        <w:jc w:val="center"/>
        <w:rPr>
          <w:rFonts w:ascii="黑体" w:hAnsi="黑体" w:eastAsia="黑体"/>
          <w:snapToGrid w:val="0"/>
          <w:color w:val="000000" w:themeColor="text1"/>
          <w:szCs w:val="21"/>
          <w14:textFill>
            <w14:solidFill>
              <w14:schemeClr w14:val="tx1"/>
            </w14:solidFill>
          </w14:textFill>
        </w:rPr>
      </w:pPr>
    </w:p>
    <w:p>
      <w:pPr>
        <w:adjustRightInd w:val="0"/>
        <w:snapToGrid w:val="0"/>
        <w:rPr>
          <w:rFonts w:ascii="黑体" w:hAnsi="黑体" w:eastAsia="黑体"/>
          <w:snapToGrid w:val="0"/>
          <w:color w:val="000000" w:themeColor="text1"/>
          <w:szCs w:val="21"/>
          <w:u w:val="single"/>
          <w14:textFill>
            <w14:solidFill>
              <w14:schemeClr w14:val="tx1"/>
            </w14:solidFill>
          </w14:textFill>
        </w:rPr>
      </w:pPr>
    </w:p>
    <w:p>
      <w:pPr>
        <w:adjustRightInd w:val="0"/>
        <w:snapToGrid w:val="0"/>
        <w:rPr>
          <w:rFonts w:ascii="黑体" w:hAnsi="黑体" w:eastAsia="黑体"/>
          <w:snapToGrid w:val="0"/>
          <w:color w:val="000000" w:themeColor="text1"/>
          <w:szCs w:val="21"/>
          <w:u w:val="single"/>
          <w14:textFill>
            <w14:solidFill>
              <w14:schemeClr w14:val="tx1"/>
            </w14:solidFill>
          </w14:textFill>
        </w:rPr>
      </w:pPr>
    </w:p>
    <w:p>
      <w:pPr>
        <w:pStyle w:val="2"/>
        <w:spacing w:line="240" w:lineRule="auto"/>
        <w:rPr>
          <w:lang w:val="en-US"/>
        </w:rPr>
      </w:pPr>
    </w:p>
    <w:p>
      <w:pPr>
        <w:pStyle w:val="2"/>
        <w:spacing w:line="240" w:lineRule="auto"/>
        <w:rPr>
          <w:lang w:val="en-US"/>
        </w:rPr>
      </w:pPr>
    </w:p>
    <w:p>
      <w:pPr>
        <w:pStyle w:val="2"/>
        <w:spacing w:line="240" w:lineRule="auto"/>
        <w:rPr>
          <w:lang w:val="en-US"/>
        </w:rPr>
      </w:pPr>
    </w:p>
    <w:p>
      <w:pPr>
        <w:ind w:right="25" w:rightChars="12"/>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淮阴工学院</w:t>
      </w:r>
    </w:p>
    <w:p>
      <w:pPr>
        <w:ind w:right="25" w:rightChars="12"/>
        <w:jc w:val="center"/>
        <w:rPr>
          <w:rFonts w:ascii="黑体" w:hAnsi="黑体" w:eastAsia="黑体"/>
          <w:b/>
          <w:color w:val="000000" w:themeColor="text1"/>
          <w:sz w:val="30"/>
          <w:szCs w:val="30"/>
          <w14:textFill>
            <w14:solidFill>
              <w14:schemeClr w14:val="tx1"/>
            </w14:solidFill>
          </w14:textFill>
        </w:rPr>
      </w:pPr>
      <w:r>
        <w:rPr>
          <w:rFonts w:ascii="黑体" w:hAnsi="黑体" w:eastAsia="黑体"/>
          <w:b/>
          <w:color w:val="000000" w:themeColor="text1"/>
          <w:sz w:val="30"/>
          <w:szCs w:val="30"/>
          <w14:textFill>
            <w14:solidFill>
              <w14:schemeClr w14:val="tx1"/>
            </w14:solidFill>
          </w14:textFill>
        </w:rPr>
        <w:t>20</w:t>
      </w:r>
      <w:r>
        <w:rPr>
          <w:rFonts w:hint="eastAsia" w:ascii="黑体" w:hAnsi="黑体" w:eastAsia="黑体"/>
          <w:b/>
          <w:color w:val="000000" w:themeColor="text1"/>
          <w:sz w:val="30"/>
          <w:szCs w:val="30"/>
          <w14:textFill>
            <w14:solidFill>
              <w14:schemeClr w14:val="tx1"/>
            </w14:solidFill>
          </w14:textFill>
        </w:rPr>
        <w:t>20年</w:t>
      </w:r>
      <w:r>
        <w:rPr>
          <w:rFonts w:ascii="黑体" w:hAnsi="黑体" w:eastAsia="黑体"/>
          <w:b/>
          <w:color w:val="000000" w:themeColor="text1"/>
          <w:sz w:val="30"/>
          <w:szCs w:val="30"/>
          <w14:textFill>
            <w14:solidFill>
              <w14:schemeClr w14:val="tx1"/>
            </w14:solidFill>
          </w14:textFill>
        </w:rPr>
        <w:t>1</w:t>
      </w:r>
      <w:r>
        <w:rPr>
          <w:rFonts w:hint="eastAsia" w:ascii="黑体" w:hAnsi="黑体" w:eastAsia="黑体"/>
          <w:b/>
          <w:color w:val="000000" w:themeColor="text1"/>
          <w:sz w:val="30"/>
          <w:szCs w:val="30"/>
          <w:lang w:val="en-US" w:eastAsia="zh-CN"/>
          <w14:textFill>
            <w14:solidFill>
              <w14:schemeClr w14:val="tx1"/>
            </w14:solidFill>
          </w14:textFill>
        </w:rPr>
        <w:t>1</w:t>
      </w:r>
      <w:r>
        <w:rPr>
          <w:rFonts w:hint="eastAsia" w:ascii="黑体" w:hAnsi="黑体" w:eastAsia="黑体"/>
          <w:b/>
          <w:color w:val="000000" w:themeColor="text1"/>
          <w:sz w:val="30"/>
          <w:szCs w:val="30"/>
          <w14:textFill>
            <w14:solidFill>
              <w14:schemeClr w14:val="tx1"/>
            </w14:solidFill>
          </w14:textFill>
        </w:rPr>
        <w:t>月</w:t>
      </w:r>
      <w:r>
        <w:rPr>
          <w:rFonts w:hint="eastAsia" w:ascii="黑体" w:hAnsi="黑体" w:eastAsia="黑体"/>
          <w:b/>
          <w:color w:val="000000" w:themeColor="text1"/>
          <w:sz w:val="30"/>
          <w:szCs w:val="30"/>
          <w:lang w:val="en-US" w:eastAsia="zh-CN"/>
          <w14:textFill>
            <w14:solidFill>
              <w14:schemeClr w14:val="tx1"/>
            </w14:solidFill>
          </w14:textFill>
        </w:rPr>
        <w:t>4</w:t>
      </w:r>
      <w:r>
        <w:rPr>
          <w:rFonts w:hint="eastAsia" w:ascii="黑体" w:hAnsi="黑体" w:eastAsia="黑体"/>
          <w:b/>
          <w:color w:val="000000" w:themeColor="text1"/>
          <w:sz w:val="30"/>
          <w:szCs w:val="30"/>
          <w14:textFill>
            <w14:solidFill>
              <w14:schemeClr w14:val="tx1"/>
            </w14:solidFill>
          </w14:textFill>
        </w:rPr>
        <w:t>日</w:t>
      </w: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widowControl/>
        <w:jc w:val="left"/>
        <w:rPr>
          <w:b/>
          <w:color w:val="000000" w:themeColor="text1"/>
          <w:sz w:val="36"/>
          <w:szCs w:val="36"/>
          <w14:textFill>
            <w14:solidFill>
              <w14:schemeClr w14:val="tx1"/>
            </w14:solidFill>
          </w14:textFill>
        </w:rPr>
      </w:pPr>
      <w:r>
        <w:rPr>
          <w:b/>
          <w:color w:val="000000" w:themeColor="text1"/>
          <w:sz w:val="36"/>
          <w:szCs w:val="36"/>
          <w14:textFill>
            <w14:solidFill>
              <w14:schemeClr w14:val="tx1"/>
            </w14:solidFill>
          </w14:textFill>
        </w:rPr>
        <w:br w:type="page"/>
      </w:r>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目录</w:t>
      </w:r>
    </w:p>
    <w:p>
      <w:pPr>
        <w:ind w:right="2436" w:rightChars="1160"/>
        <w:jc w:val="center"/>
        <w:rPr>
          <w:b/>
          <w:color w:val="000000" w:themeColor="text1"/>
          <w:szCs w:val="21"/>
          <w14:textFill>
            <w14:solidFill>
              <w14:schemeClr w14:val="tx1"/>
            </w14:solidFill>
          </w14:textFill>
        </w:rPr>
      </w:pPr>
    </w:p>
    <w:p>
      <w:pPr>
        <w:ind w:right="2436" w:rightChars="1160"/>
        <w:jc w:val="center"/>
        <w:rPr>
          <w:b/>
          <w:color w:val="000000" w:themeColor="text1"/>
          <w:szCs w:val="21"/>
          <w14:textFill>
            <w14:solidFill>
              <w14:schemeClr w14:val="tx1"/>
            </w14:solidFill>
          </w14:textFill>
        </w:rPr>
      </w:pPr>
    </w:p>
    <w:p>
      <w:pPr>
        <w:jc w:val="center"/>
        <w:rPr>
          <w:color w:val="000000" w:themeColor="text1"/>
          <w:sz w:val="28"/>
          <w14:textFill>
            <w14:solidFill>
              <w14:schemeClr w14:val="tx1"/>
            </w14:solidFill>
          </w14:textFill>
        </w:rPr>
      </w:pP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第一章 投标须知</w:t>
      </w:r>
      <w:r>
        <w:rPr>
          <w:color w:val="000000" w:themeColor="text1"/>
          <w:sz w:val="28"/>
          <w14:textFill>
            <w14:solidFill>
              <w14:schemeClr w14:val="tx1"/>
            </w14:solidFill>
          </w14:textFill>
        </w:rPr>
        <w:t xml:space="preserve">  ……………………………………………… </w:t>
      </w:r>
      <w:r>
        <w:rPr>
          <w:rFonts w:hint="eastAsia"/>
          <w:color w:val="000000" w:themeColor="text1"/>
          <w:sz w:val="28"/>
          <w14:textFill>
            <w14:solidFill>
              <w14:schemeClr w14:val="tx1"/>
            </w14:solidFill>
          </w14:textFill>
        </w:rPr>
        <w:t>3</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第二章 项目采购需求</w:t>
      </w:r>
      <w:r>
        <w:rPr>
          <w:color w:val="000000" w:themeColor="text1"/>
          <w:sz w:val="28"/>
          <w14:textFill>
            <w14:solidFill>
              <w14:schemeClr w14:val="tx1"/>
            </w14:solidFill>
          </w14:textFill>
        </w:rPr>
        <w:t>…………………………………………….</w:t>
      </w:r>
      <w:r>
        <w:rPr>
          <w:rFonts w:hint="eastAsia"/>
          <w:color w:val="000000" w:themeColor="text1"/>
          <w:sz w:val="28"/>
          <w14:textFill>
            <w14:solidFill>
              <w14:schemeClr w14:val="tx1"/>
            </w14:solidFill>
          </w14:textFill>
        </w:rPr>
        <w:t>1</w:t>
      </w:r>
      <w:r>
        <w:rPr>
          <w:color w:val="000000" w:themeColor="text1"/>
          <w:sz w:val="28"/>
          <w14:textFill>
            <w14:solidFill>
              <w14:schemeClr w14:val="tx1"/>
            </w14:solidFill>
          </w14:textFill>
        </w:rPr>
        <w:t>5</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第三章 合同主要条款</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2</w:t>
      </w:r>
      <w:r>
        <w:rPr>
          <w:color w:val="000000" w:themeColor="text1"/>
          <w:sz w:val="28"/>
          <w14:textFill>
            <w14:solidFill>
              <w14:schemeClr w14:val="tx1"/>
            </w14:solidFill>
          </w14:textFill>
        </w:rPr>
        <w:t>3</w:t>
      </w:r>
    </w:p>
    <w:p>
      <w:pPr>
        <w:spacing w:line="680" w:lineRule="exact"/>
        <w:rPr>
          <w:bCs/>
          <w:color w:val="000000" w:themeColor="text1"/>
          <w:szCs w:val="21"/>
          <w14:textFill>
            <w14:solidFill>
              <w14:schemeClr w14:val="tx1"/>
            </w14:solidFill>
          </w14:textFill>
        </w:rPr>
      </w:pPr>
      <w:r>
        <w:rPr>
          <w:rFonts w:hint="eastAsia"/>
          <w:color w:val="000000" w:themeColor="text1"/>
          <w:sz w:val="28"/>
          <w14:textFill>
            <w14:solidFill>
              <w14:schemeClr w14:val="tx1"/>
            </w14:solidFill>
          </w14:textFill>
        </w:rPr>
        <w:t>第四章 投标文件样式</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2</w:t>
      </w:r>
      <w:r>
        <w:rPr>
          <w:color w:val="000000" w:themeColor="text1"/>
          <w:sz w:val="28"/>
          <w14:textFill>
            <w14:solidFill>
              <w14:schemeClr w14:val="tx1"/>
            </w14:solidFill>
          </w14:textFill>
        </w:rPr>
        <w:t>6</w:t>
      </w:r>
    </w:p>
    <w:p>
      <w:pPr>
        <w:widowControl/>
        <w:jc w:val="left"/>
        <w:rPr>
          <w:bCs/>
          <w:color w:val="000000" w:themeColor="text1"/>
          <w:szCs w:val="21"/>
          <w14:textFill>
            <w14:solidFill>
              <w14:schemeClr w14:val="tx1"/>
            </w14:solidFill>
          </w14:textFill>
        </w:rPr>
      </w:pPr>
    </w:p>
    <w:p>
      <w:pP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br w:type="page"/>
      </w:r>
    </w:p>
    <w:p>
      <w:pPr>
        <w:spacing w:line="40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第一章 投标须知</w:t>
      </w:r>
    </w:p>
    <w:p>
      <w:pPr>
        <w:spacing w:line="400" w:lineRule="exact"/>
        <w:ind w:firstLine="480" w:firstLineChars="200"/>
        <w:rPr>
          <w:color w:val="000000" w:themeColor="text1"/>
          <w:sz w:val="24"/>
          <w:szCs w:val="24"/>
          <w14:textFill>
            <w14:solidFill>
              <w14:schemeClr w14:val="tx1"/>
            </w14:solidFill>
          </w14:textFill>
        </w:rPr>
      </w:pPr>
    </w:p>
    <w:p>
      <w:pPr>
        <w:spacing w:line="4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一、招标项目</w:t>
      </w:r>
    </w:p>
    <w:p>
      <w:pPr>
        <w:spacing w:line="4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项目名称：淮阴工学院外国语学院语言实验室设备采购与安装</w:t>
      </w:r>
    </w:p>
    <w:p>
      <w:pPr>
        <w:spacing w:line="4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项目最高限价：34万</w:t>
      </w:r>
    </w:p>
    <w:p>
      <w:pPr>
        <w:widowControl/>
        <w:spacing w:line="4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项目简要说明：</w:t>
      </w:r>
      <w:r>
        <w:rPr>
          <w:rFonts w:hint="eastAsia"/>
          <w:sz w:val="24"/>
          <w:szCs w:val="24"/>
        </w:rPr>
        <w:t>满足大学英语教学、大学英语视听说iTest测试、大学英语四六级口语测试、大学日语四六级测试、大学俄语四六级测试、英语专业四八级口语测试、翻译八级测试、全国公共英语考试以及大学英语、英语专业日常教学等要求。</w:t>
      </w:r>
    </w:p>
    <w:p>
      <w:pPr>
        <w:widowControl/>
        <w:spacing w:line="4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具体要求见第二章。</w:t>
      </w:r>
    </w:p>
    <w:p>
      <w:pPr>
        <w:widowControl/>
        <w:spacing w:line="4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二、投标人的资格条件</w:t>
      </w:r>
    </w:p>
    <w:p>
      <w:pPr>
        <w:widowControl/>
        <w:spacing w:line="4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参加本次招标活动的供应商除应当符合《中华人民共和国政府采购法》第二十二条的规定外，还必须具备以下条件：</w:t>
      </w:r>
    </w:p>
    <w:p>
      <w:pPr>
        <w:widowControl/>
        <w:spacing w:line="40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1</w:t>
      </w:r>
      <w:r>
        <w:rPr>
          <w:rFonts w:hint="eastAsia"/>
          <w:color w:val="000000" w:themeColor="text1"/>
          <w:kern w:val="0"/>
          <w:sz w:val="24"/>
          <w:szCs w:val="24"/>
          <w14:textFill>
            <w14:solidFill>
              <w14:schemeClr w14:val="tx1"/>
            </w14:solidFill>
          </w14:textFill>
        </w:rPr>
        <w:t>经国家行政主管部门批准注册的企业法人；</w:t>
      </w:r>
    </w:p>
    <w:p>
      <w:pPr>
        <w:widowControl/>
        <w:spacing w:line="400" w:lineRule="exact"/>
        <w:ind w:firstLine="480" w:firstLineChars="200"/>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具有本次采购货物（服务）的经营范围；</w:t>
      </w:r>
    </w:p>
    <w:p>
      <w:pPr>
        <w:widowControl/>
        <w:spacing w:line="40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具有良好的经营行为和经营业绩，近三年在招投标活动中无不良记录；</w:t>
      </w:r>
    </w:p>
    <w:p>
      <w:pPr>
        <w:widowControl/>
        <w:spacing w:line="40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4</w:t>
      </w:r>
      <w:r>
        <w:rPr>
          <w:rFonts w:hint="eastAsia"/>
          <w:color w:val="000000" w:themeColor="text1"/>
          <w:spacing w:val="15"/>
          <w:kern w:val="0"/>
          <w:sz w:val="24"/>
          <w:szCs w:val="24"/>
          <w14:textFill>
            <w14:solidFill>
              <w14:schemeClr w14:val="tx1"/>
            </w14:solidFill>
          </w14:textFill>
        </w:rPr>
        <w:t>具备履行合同所必需的设备和专业技术能力；</w:t>
      </w:r>
    </w:p>
    <w:p>
      <w:pPr>
        <w:widowControl/>
        <w:spacing w:line="40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5</w:t>
      </w:r>
      <w:r>
        <w:rPr>
          <w:rFonts w:hint="eastAsia"/>
          <w:color w:val="000000" w:themeColor="text1"/>
          <w:spacing w:val="15"/>
          <w:kern w:val="0"/>
          <w:sz w:val="24"/>
          <w:szCs w:val="24"/>
          <w14:textFill>
            <w14:solidFill>
              <w14:schemeClr w14:val="tx1"/>
            </w14:solidFill>
          </w14:textFill>
        </w:rPr>
        <w:t>本次招标不接受联合体供应商参加投标。</w:t>
      </w:r>
    </w:p>
    <w:p>
      <w:pPr>
        <w:widowControl/>
        <w:spacing w:line="40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w:t>
      </w:r>
      <w:r>
        <w:rPr>
          <w:rFonts w:hint="eastAsia"/>
          <w:color w:val="000000" w:themeColor="text1"/>
          <w:spacing w:val="15"/>
          <w:kern w:val="0"/>
          <w:sz w:val="24"/>
          <w:szCs w:val="24"/>
          <w14:textFill>
            <w14:solidFill>
              <w14:schemeClr w14:val="tx1"/>
            </w14:solidFill>
          </w14:textFill>
        </w:rPr>
        <w:t>拒绝下述条件的供应商参加本次采购活动</w:t>
      </w:r>
      <w:r>
        <w:rPr>
          <w:color w:val="000000" w:themeColor="text1"/>
          <w:spacing w:val="15"/>
          <w:kern w:val="0"/>
          <w:sz w:val="24"/>
          <w:szCs w:val="24"/>
          <w14:textFill>
            <w14:solidFill>
              <w14:schemeClr w14:val="tx1"/>
            </w14:solidFill>
          </w14:textFill>
        </w:rPr>
        <w:t>:</w:t>
      </w:r>
    </w:p>
    <w:p>
      <w:pPr>
        <w:widowControl/>
        <w:spacing w:line="40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6.1</w:t>
      </w:r>
      <w:r>
        <w:rPr>
          <w:rFonts w:hint="eastAsia"/>
          <w:color w:val="000000" w:themeColor="text1"/>
          <w:spacing w:val="15"/>
          <w:kern w:val="0"/>
          <w:sz w:val="24"/>
          <w:szCs w:val="24"/>
          <w14:textFill>
            <w14:solidFill>
              <w14:schemeClr w14:val="tx1"/>
            </w14:solidFill>
          </w14:textFill>
        </w:rPr>
        <w:t>供应商单位负责人为同一人或者存在直接控股、管理关系的不同供应商，不得同时参加同一合同项下的政府采购活动。</w:t>
      </w:r>
    </w:p>
    <w:p>
      <w:pPr>
        <w:widowControl/>
        <w:spacing w:line="40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6.2</w:t>
      </w:r>
      <w:r>
        <w:rPr>
          <w:rFonts w:hint="eastAsia"/>
          <w:color w:val="000000" w:themeColor="text1"/>
          <w:spacing w:val="15"/>
          <w:kern w:val="0"/>
          <w:sz w:val="24"/>
          <w:szCs w:val="24"/>
          <w14:textFill>
            <w14:solidFill>
              <w14:schemeClr w14:val="tx1"/>
            </w14:solidFill>
          </w14:textFill>
        </w:rPr>
        <w:t>凡为采购项目提供整体设计、规范编制或者项目管理、监理、检测等服务的供应商，不得再参加本项目的采购活动。</w:t>
      </w:r>
    </w:p>
    <w:p>
      <w:pPr>
        <w:widowControl/>
        <w:spacing w:line="40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6.3</w:t>
      </w:r>
      <w:r>
        <w:rPr>
          <w:rFonts w:hint="eastAsia"/>
          <w:color w:val="000000" w:themeColor="text1"/>
          <w:spacing w:val="15"/>
          <w:kern w:val="0"/>
          <w:sz w:val="24"/>
          <w:szCs w:val="24"/>
          <w14:textFill>
            <w14:solidFill>
              <w14:schemeClr w14:val="tx1"/>
            </w14:solidFill>
          </w14:textFill>
        </w:rPr>
        <w:t>近三年内（本项目招标截止期前）投标人被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信用中国</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"http://www.creditchina.gov.cn" </w:instrText>
      </w:r>
      <w:r>
        <w:fldChar w:fldCharType="separate"/>
      </w:r>
      <w:r>
        <w:rPr>
          <w:color w:val="000000" w:themeColor="text1"/>
          <w:spacing w:val="15"/>
          <w:kern w:val="0"/>
          <w:sz w:val="24"/>
          <w:szCs w:val="24"/>
          <w14:textFill>
            <w14:solidFill>
              <w14:schemeClr w14:val="tx1"/>
            </w14:solidFill>
          </w14:textFill>
        </w:rPr>
        <w:t>www.creditchina.gov.cn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）列入失信被执行人和重大税收违法案件当事人名单的、被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中国政府采购网</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"http://www.ccgp.gov.cn" </w:instrText>
      </w:r>
      <w:r>
        <w:fldChar w:fldCharType="separate"/>
      </w:r>
      <w:r>
        <w:rPr>
          <w:color w:val="000000" w:themeColor="text1"/>
          <w:spacing w:val="15"/>
          <w:kern w:val="0"/>
          <w:sz w:val="24"/>
          <w:szCs w:val="24"/>
          <w14:textFill>
            <w14:solidFill>
              <w14:schemeClr w14:val="tx1"/>
            </w14:solidFill>
          </w14:textFill>
        </w:rPr>
        <w:t>www.ccgp.gov.cn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）列入政府采购严重违法失信行为记录名单（处罚期限尚未届满的），不得参与本项目。</w:t>
      </w:r>
    </w:p>
    <w:p>
      <w:pPr>
        <w:spacing w:line="400" w:lineRule="exact"/>
        <w:ind w:firstLine="540" w:firstLineChars="200"/>
        <w:rPr>
          <w:color w:val="000000" w:themeColor="text1"/>
          <w:spacing w:val="4"/>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三、</w:t>
      </w:r>
      <w:r>
        <w:rPr>
          <w:rFonts w:hint="eastAsia"/>
          <w:color w:val="000000" w:themeColor="text1"/>
          <w:spacing w:val="4"/>
          <w:sz w:val="24"/>
          <w:szCs w:val="24"/>
          <w14:textFill>
            <w14:solidFill>
              <w14:schemeClr w14:val="tx1"/>
            </w14:solidFill>
          </w14:textFill>
        </w:rPr>
        <w:t>投标人资格审查方式</w:t>
      </w:r>
    </w:p>
    <w:p>
      <w:pPr>
        <w:spacing w:line="400" w:lineRule="exact"/>
        <w:ind w:firstLine="488" w:firstLineChars="200"/>
        <w:rPr>
          <w:b/>
          <w:color w:val="000000" w:themeColor="text1"/>
          <w:spacing w:val="2"/>
          <w:kern w:val="0"/>
          <w:sz w:val="24"/>
          <w:szCs w:val="24"/>
          <w14:textFill>
            <w14:solidFill>
              <w14:schemeClr w14:val="tx1"/>
            </w14:solidFill>
          </w14:textFill>
        </w:rPr>
      </w:pPr>
      <w:r>
        <w:rPr>
          <w:rFonts w:hint="eastAsia"/>
          <w:color w:val="000000" w:themeColor="text1"/>
          <w:spacing w:val="2"/>
          <w:kern w:val="0"/>
          <w:sz w:val="24"/>
          <w:szCs w:val="24"/>
          <w14:textFill>
            <w14:solidFill>
              <w14:schemeClr w14:val="tx1"/>
            </w14:solidFill>
          </w14:textFill>
        </w:rPr>
        <w:t>资格后审，开标时进行投标资格审核。若中标后发现资格不符合要求，则取消中标资格，涉嫌提供虚假材料的将处以取消</w:t>
      </w:r>
      <w:r>
        <w:rPr>
          <w:color w:val="000000" w:themeColor="text1"/>
          <w:spacing w:val="2"/>
          <w:kern w:val="0"/>
          <w:sz w:val="24"/>
          <w:szCs w:val="24"/>
          <w14:textFill>
            <w14:solidFill>
              <w14:schemeClr w14:val="tx1"/>
            </w14:solidFill>
          </w14:textFill>
        </w:rPr>
        <w:t>中标资格</w:t>
      </w:r>
      <w:r>
        <w:rPr>
          <w:rFonts w:hint="eastAsia"/>
          <w:color w:val="000000" w:themeColor="text1"/>
          <w:spacing w:val="2"/>
          <w:kern w:val="0"/>
          <w:sz w:val="24"/>
          <w:szCs w:val="24"/>
          <w14:textFill>
            <w14:solidFill>
              <w14:schemeClr w14:val="tx1"/>
            </w14:solidFill>
          </w14:textFill>
        </w:rPr>
        <w:t>并列入学校采购不诚信企业名单，两年内不得参与学校所有采购项目。</w:t>
      </w:r>
    </w:p>
    <w:p>
      <w:pPr>
        <w:spacing w:line="400" w:lineRule="exact"/>
        <w:ind w:firstLine="480" w:firstLineChars="200"/>
        <w:rPr>
          <w:rFonts w:asci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四、招标文件</w:t>
      </w:r>
    </w:p>
    <w:p>
      <w:pPr>
        <w:spacing w:line="40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cs="仿宋" w:asciiTheme="minorEastAsia" w:hAnsiTheme="minorEastAsia" w:eastAsiaTheme="minorEastAsia"/>
          <w:color w:val="000000" w:themeColor="text1"/>
          <w:sz w:val="24"/>
          <w:szCs w:val="24"/>
          <w14:textFill>
            <w14:solidFill>
              <w14:schemeClr w14:val="tx1"/>
            </w14:solidFill>
          </w14:textFill>
        </w:rPr>
        <w:t>1.</w:t>
      </w:r>
      <w:r>
        <w:rPr>
          <w:rFonts w:hint="eastAsia" w:cs="仿宋" w:asciiTheme="minorEastAsia" w:hAnsiTheme="minorEastAsia" w:eastAsiaTheme="minorEastAsia"/>
          <w:color w:val="000000" w:themeColor="text1"/>
          <w:sz w:val="24"/>
          <w:szCs w:val="24"/>
          <w14:textFill>
            <w14:solidFill>
              <w14:schemeClr w14:val="tx1"/>
            </w14:solidFill>
          </w14:textFill>
        </w:rPr>
        <w:t>招标文件发布</w:t>
      </w:r>
    </w:p>
    <w:p>
      <w:pPr>
        <w:spacing w:line="40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color w:val="000000" w:themeColor="text1"/>
          <w:sz w:val="24"/>
          <w:szCs w:val="24"/>
          <w14:textFill>
            <w14:solidFill>
              <w14:schemeClr w14:val="tx1"/>
            </w14:solidFill>
          </w14:textFill>
        </w:rPr>
        <w:t>http://www.ccgp-jiangsu.gov.cn/ggxx/gkzbgg/</w:t>
      </w:r>
      <w:r>
        <w:rPr>
          <w:rFonts w:cs="仿宋" w:asciiTheme="minorEastAsia" w:hAnsiTheme="minorEastAsia" w:eastAsiaTheme="minorEastAsia"/>
          <w:color w:val="000000" w:themeColor="text1"/>
          <w:sz w:val="24"/>
          <w:szCs w:val="24"/>
          <w14:textFill>
            <w14:solidFill>
              <w14:schemeClr w14:val="tx1"/>
            </w14:solidFill>
          </w14:textFill>
        </w:rPr>
        <w:fldChar w:fldCharType="end"/>
      </w:r>
      <w:r>
        <w:rPr>
          <w:rFonts w:hint="eastAsia" w:cs="仿宋" w:asciiTheme="minorEastAsia" w:hAnsiTheme="minorEastAsia" w:eastAsiaTheme="minorEastAsia"/>
          <w:color w:val="000000" w:themeColor="text1"/>
          <w:sz w:val="24"/>
          <w:szCs w:val="24"/>
          <w14:textFill>
            <w14:solidFill>
              <w14:schemeClr w14:val="tx1"/>
            </w14:solidFill>
          </w14:textFill>
        </w:rPr>
        <w:t>）,投标人无需提前现场报名，可直接在网站下载招标文件电子文档。招标文件资料费为</w:t>
      </w:r>
      <w:r>
        <w:rPr>
          <w:rFonts w:cs="仿宋" w:asciiTheme="minorEastAsia" w:hAnsiTheme="minorEastAsia" w:eastAsiaTheme="minorEastAsia"/>
          <w:color w:val="000000" w:themeColor="text1"/>
          <w:sz w:val="24"/>
          <w:szCs w:val="24"/>
          <w14:textFill>
            <w14:solidFill>
              <w14:schemeClr w14:val="tx1"/>
            </w14:solidFill>
          </w14:textFill>
        </w:rPr>
        <w:t>2</w:t>
      </w:r>
      <w:r>
        <w:rPr>
          <w:rFonts w:hint="eastAsia" w:cs="仿宋" w:asciiTheme="minorEastAsia" w:hAnsiTheme="minorEastAsia" w:eastAsiaTheme="minorEastAsia"/>
          <w:color w:val="000000" w:themeColor="text1"/>
          <w:sz w:val="24"/>
          <w:szCs w:val="24"/>
          <w14:textFill>
            <w14:solidFill>
              <w14:schemeClr w14:val="tx1"/>
            </w14:solidFill>
          </w14:textFill>
        </w:rPr>
        <w:t>00元，投标人在投标前采用汇款方式（</w:t>
      </w:r>
      <w:r>
        <w:rPr>
          <w:rFonts w:hint="eastAsia" w:ascii="宋体" w:hAnsi="宋体" w:cs="仿宋"/>
          <w:color w:val="000000" w:themeColor="text1"/>
          <w:sz w:val="24"/>
          <w:szCs w:val="24"/>
          <w14:textFill>
            <w14:solidFill>
              <w14:schemeClr w14:val="tx1"/>
            </w14:solidFill>
          </w14:textFill>
        </w:rPr>
        <w:t>银行开户名：淮阴工学院；开户行：淮安市建行中北分理处；银行帐号：</w:t>
      </w:r>
      <w:r>
        <w:rPr>
          <w:rFonts w:ascii="宋体" w:hAnsi="宋体" w:cs="仿宋"/>
          <w:color w:val="000000" w:themeColor="text1"/>
          <w:sz w:val="24"/>
          <w:szCs w:val="24"/>
          <w14:textFill>
            <w14:solidFill>
              <w14:schemeClr w14:val="tx1"/>
            </w14:solidFill>
          </w14:textFill>
        </w:rPr>
        <w:t>32001724236051451171</w:t>
      </w:r>
      <w:r>
        <w:rPr>
          <w:rFonts w:hint="eastAsia" w:cs="仿宋" w:asciiTheme="minorEastAsia" w:hAnsiTheme="minorEastAsia" w:eastAsiaTheme="minorEastAsia"/>
          <w:color w:val="000000" w:themeColor="text1"/>
          <w:sz w:val="24"/>
          <w:szCs w:val="24"/>
          <w14:textFill>
            <w14:solidFill>
              <w14:schemeClr w14:val="tx1"/>
            </w14:solidFill>
          </w14:textFill>
        </w:rPr>
        <w:t>）交纳该费用，交后一律不退。如果投标人确认参与本项目投标，请如实填写《供应商参与投标确认函》（格式见第五章）,并发送电子扫描件回复（文件命名为“</w:t>
      </w:r>
      <w:r>
        <w:rPr>
          <w:rFonts w:hint="eastAsia" w:ascii="黑体" w:hAnsi="黑体" w:eastAsia="黑体" w:cs="黑体"/>
          <w:color w:val="000000" w:themeColor="text1"/>
          <w:sz w:val="24"/>
          <w:szCs w:val="24"/>
          <w14:textFill>
            <w14:solidFill>
              <w14:schemeClr w14:val="tx1"/>
            </w14:solidFill>
          </w14:textFill>
        </w:rPr>
        <w:t>项目编号+投标单位名称</w:t>
      </w:r>
      <w:r>
        <w:rPr>
          <w:rFonts w:hint="eastAsia" w:cs="仿宋" w:asciiTheme="minorEastAsia" w:hAnsiTheme="minorEastAsia" w:eastAsiaTheme="minorEastAsia"/>
          <w:color w:val="000000" w:themeColor="text1"/>
          <w:sz w:val="24"/>
          <w:szCs w:val="24"/>
          <w14:textFill>
            <w14:solidFill>
              <w14:schemeClr w14:val="tx1"/>
            </w14:solidFill>
          </w14:textFill>
        </w:rPr>
        <w:t>”）及授权委托人身份证复印件（电子邮箱：zbb@hyit.edu.cn）。</w:t>
      </w:r>
    </w:p>
    <w:p>
      <w:pPr>
        <w:spacing w:line="400" w:lineRule="exact"/>
        <w:ind w:firstLine="480" w:firstLineChars="200"/>
        <w:jc w:val="left"/>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00" w:lineRule="exact"/>
        <w:ind w:firstLine="480" w:firstLineChars="200"/>
        <w:jc w:val="left"/>
        <w:rPr>
          <w:rFonts w:asci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招标文件澄清</w:t>
      </w:r>
    </w:p>
    <w:p>
      <w:pPr>
        <w:widowControl/>
        <w:shd w:val="clear" w:color="auto" w:fill="FFFFFF"/>
        <w:spacing w:line="40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kern w:val="0"/>
          <w:sz w:val="24"/>
          <w:szCs w:val="24"/>
          <w14:textFill>
            <w14:solidFill>
              <w14:schemeClr w14:val="tx1"/>
            </w14:solidFill>
          </w14:textFill>
        </w:rPr>
        <w:t>zbb@hyit.edu.cn</w:t>
      </w:r>
      <w:r>
        <w:rPr>
          <w:rFonts w:hint="eastAsia" w:ascii="宋体" w:hAnsi="宋体" w:cs="宋体"/>
          <w:color w:val="000000" w:themeColor="text1"/>
          <w:kern w:val="0"/>
          <w:sz w:val="24"/>
          <w:szCs w:val="24"/>
          <w14:textFill>
            <w14:solidFill>
              <w14:schemeClr w14:val="tx1"/>
            </w14:solidFill>
          </w14:textFill>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00" w:lineRule="exact"/>
        <w:ind w:firstLine="442"/>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招标文件变更</w:t>
      </w:r>
    </w:p>
    <w:p>
      <w:pPr>
        <w:widowControl/>
        <w:shd w:val="clear" w:color="auto" w:fill="FFFFFF"/>
        <w:spacing w:line="400" w:lineRule="exact"/>
        <w:ind w:firstLine="442"/>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w:t>
      </w:r>
      <w:bookmarkStart w:id="3" w:name="_GoBack"/>
      <w:bookmarkEnd w:id="3"/>
      <w:r>
        <w:rPr>
          <w:rFonts w:hint="eastAsia" w:ascii="宋体" w:hAnsi="宋体" w:cs="宋体"/>
          <w:color w:val="000000" w:themeColor="text1"/>
          <w:kern w:val="0"/>
          <w:sz w:val="24"/>
          <w:szCs w:val="24"/>
          <w14:textFill>
            <w14:solidFill>
              <w14:schemeClr w14:val="tx1"/>
            </w14:solidFill>
          </w14:textFill>
        </w:rPr>
        <w:t>推迟投标截止时间和开标日期。</w:t>
      </w:r>
    </w:p>
    <w:p>
      <w:pPr>
        <w:pStyle w:val="2"/>
      </w:pPr>
      <w:r>
        <w:rPr>
          <w:rFonts w:hint="eastAsia"/>
        </w:rPr>
        <w:t>五、现场踏勘</w:t>
      </w:r>
    </w:p>
    <w:p>
      <w:pPr>
        <w:pStyle w:val="2"/>
      </w:pPr>
      <w:r>
        <w:rPr>
          <w:rFonts w:hint="eastAsia"/>
        </w:rPr>
        <w:t>1.时间及</w:t>
      </w:r>
      <w:r>
        <w:rPr>
          <w:rFonts w:hint="eastAsia"/>
          <w:color w:val="auto"/>
        </w:rPr>
        <w:t>方式：2020年</w:t>
      </w:r>
      <w:r>
        <w:rPr>
          <w:rFonts w:hint="eastAsia"/>
          <w:color w:val="auto"/>
          <w:lang w:val="en-US"/>
        </w:rPr>
        <w:t>11</w:t>
      </w:r>
      <w:r>
        <w:rPr>
          <w:rFonts w:hint="eastAsia"/>
          <w:color w:val="auto"/>
        </w:rPr>
        <w:t>月</w:t>
      </w:r>
      <w:r>
        <w:rPr>
          <w:rFonts w:hint="eastAsia"/>
          <w:color w:val="auto"/>
          <w:lang w:val="en-US" w:eastAsia="zh-CN"/>
        </w:rPr>
        <w:t>11、12</w:t>
      </w:r>
      <w:r>
        <w:rPr>
          <w:rFonts w:hint="eastAsia"/>
          <w:color w:val="auto"/>
        </w:rPr>
        <w:t>日</w:t>
      </w:r>
      <w:r>
        <w:rPr>
          <w:rFonts w:hint="eastAsia"/>
        </w:rPr>
        <w:t>，踏勘现场人员须服从学校新冠肺炎防控管理，须安排健康人员踏勘现场，并提前2天与采购人联系办理进校有关手续，现场服从学校管理；现场踏勘确认函（由校方出具）须采购人签字盖章确认，并将复印件</w:t>
      </w:r>
      <w:r>
        <w:t>装订在投标</w:t>
      </w:r>
      <w:r>
        <w:rPr>
          <w:rFonts w:hint="eastAsia"/>
        </w:rPr>
        <w:t>文件中，否则作废标处理。</w:t>
      </w:r>
    </w:p>
    <w:p>
      <w:pPr>
        <w:pStyle w:val="2"/>
      </w:pPr>
      <w:r>
        <w:rPr>
          <w:rFonts w:hint="eastAsia"/>
        </w:rPr>
        <w:t>2.地点：江苏省淮安市清江浦区北京北路8</w:t>
      </w:r>
      <w:r>
        <w:t>9</w:t>
      </w:r>
      <w:r>
        <w:rPr>
          <w:rFonts w:hint="eastAsia"/>
        </w:rPr>
        <w:t>号淮阴工学院2号楼。</w:t>
      </w:r>
    </w:p>
    <w:p>
      <w:pPr>
        <w:pStyle w:val="2"/>
      </w:pPr>
      <w:r>
        <w:rPr>
          <w:rFonts w:hint="eastAsia"/>
        </w:rPr>
        <w:t>3.费用：由投标人承担。</w:t>
      </w:r>
    </w:p>
    <w:p>
      <w:pPr>
        <w:pStyle w:val="2"/>
        <w:rPr>
          <w:lang w:val="en-US"/>
        </w:rPr>
      </w:pPr>
      <w:r>
        <w:rPr>
          <w:rFonts w:hint="eastAsia"/>
        </w:rPr>
        <w:t>4.联系人：</w:t>
      </w:r>
      <w:r>
        <w:rPr>
          <w:rFonts w:hint="eastAsia"/>
          <w:lang w:val="en-US"/>
        </w:rPr>
        <w:t>徐老师</w:t>
      </w:r>
      <w:r>
        <w:rPr>
          <w:rFonts w:hint="eastAsia"/>
        </w:rPr>
        <w:t>，联系电话：</w:t>
      </w:r>
      <w:r>
        <w:rPr>
          <w:rFonts w:hint="eastAsia"/>
          <w:lang w:val="en-US"/>
        </w:rPr>
        <w:t xml:space="preserve"> 13952369909。</w:t>
      </w:r>
    </w:p>
    <w:p>
      <w:pPr>
        <w:spacing w:line="40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六、投标文件组成</w:t>
      </w:r>
    </w:p>
    <w:p>
      <w:pPr>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投标函（格式见第四章）。</w:t>
      </w:r>
    </w:p>
    <w:p>
      <w:pPr>
        <w:spacing w:line="400" w:lineRule="exact"/>
        <w:ind w:firstLine="480" w:firstLineChars="200"/>
        <w:rPr>
          <w:color w:val="000000" w:themeColor="text1"/>
          <w:sz w:val="24"/>
          <w:szCs w:val="24"/>
          <w14:textFill>
            <w14:solidFill>
              <w14:schemeClr w14:val="tx1"/>
            </w14:solidFill>
          </w14:textFill>
        </w:rPr>
      </w:pPr>
      <w:r>
        <w:rPr>
          <w:color w:val="000000" w:themeColor="text1"/>
          <w:kern w:val="0"/>
          <w:sz w:val="24"/>
          <w:szCs w:val="24"/>
          <w14:textFill>
            <w14:solidFill>
              <w14:schemeClr w14:val="tx1"/>
            </w14:solidFill>
          </w14:textFill>
        </w:rPr>
        <w:t>2.</w:t>
      </w:r>
      <w:r>
        <w:rPr>
          <w:rFonts w:hint="eastAsia"/>
          <w:color w:val="000000" w:themeColor="text1"/>
          <w:kern w:val="0"/>
          <w:sz w:val="24"/>
          <w:szCs w:val="24"/>
          <w14:textFill>
            <w14:solidFill>
              <w14:schemeClr w14:val="tx1"/>
            </w14:solidFill>
          </w14:textFill>
        </w:rPr>
        <w:t>投标报价表</w:t>
      </w:r>
      <w:r>
        <w:rPr>
          <w:rFonts w:hint="eastAsia"/>
          <w:color w:val="000000" w:themeColor="text1"/>
          <w:sz w:val="24"/>
          <w:szCs w:val="24"/>
          <w14:textFill>
            <w14:solidFill>
              <w14:schemeClr w14:val="tx1"/>
            </w14:solidFill>
          </w14:textFill>
        </w:rPr>
        <w:t>（格式见第四章）</w:t>
      </w:r>
      <w:r>
        <w:rPr>
          <w:rFonts w:hint="eastAsia"/>
          <w:color w:val="000000" w:themeColor="text1"/>
          <w:kern w:val="0"/>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0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资质证明材料</w:t>
      </w:r>
    </w:p>
    <w:p>
      <w:pPr>
        <w:widowControl/>
        <w:shd w:val="clear" w:color="auto" w:fill="FFFFFF"/>
        <w:spacing w:line="40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3.1</w:t>
      </w:r>
      <w:r>
        <w:rPr>
          <w:rFonts w:hint="eastAsia"/>
          <w:color w:val="000000" w:themeColor="text1"/>
          <w:kern w:val="0"/>
          <w:sz w:val="24"/>
          <w:szCs w:val="24"/>
          <w14:textFill>
            <w14:solidFill>
              <w14:schemeClr w14:val="tx1"/>
            </w14:solidFill>
          </w14:textFill>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0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3.2</w:t>
      </w:r>
      <w:r>
        <w:rPr>
          <w:rFonts w:hint="eastAsia"/>
          <w:color w:val="000000" w:themeColor="text1"/>
          <w:kern w:val="0"/>
          <w:sz w:val="24"/>
          <w:szCs w:val="24"/>
          <w14:textFill>
            <w14:solidFill>
              <w14:schemeClr w14:val="tx1"/>
            </w14:solidFill>
          </w14:textFill>
        </w:rPr>
        <w:t>营业执照（复印件并加盖投标人公章）。</w:t>
      </w:r>
    </w:p>
    <w:p>
      <w:pPr>
        <w:widowControl/>
        <w:shd w:val="clear" w:color="auto" w:fill="FFFFFF"/>
        <w:spacing w:line="40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3.3</w:t>
      </w:r>
      <w:r>
        <w:rPr>
          <w:rFonts w:hint="eastAsia"/>
          <w:color w:val="000000" w:themeColor="text1"/>
          <w:kern w:val="0"/>
          <w:sz w:val="24"/>
          <w:szCs w:val="24"/>
          <w14:textFill>
            <w14:solidFill>
              <w14:schemeClr w14:val="tx1"/>
            </w14:solidFill>
          </w14:textFill>
        </w:rPr>
        <w:t>参加政府采购活动前三年内在经营活动和招投标活动中没有重大违法记录的承诺书（格式见第四章，加盖投标人公章）。</w:t>
      </w:r>
    </w:p>
    <w:p>
      <w:pPr>
        <w:widowControl/>
        <w:shd w:val="clear" w:color="auto" w:fill="FFFFFF"/>
        <w:spacing w:line="400" w:lineRule="exact"/>
        <w:ind w:firstLine="440"/>
        <w:rPr>
          <w:rFonts w:hint="eastAsia"/>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4提供“具备履行合同所必需的设备和专业技术能力”的承诺书（格式自定，加盖投标人公章）。</w:t>
      </w:r>
    </w:p>
    <w:p>
      <w:pPr>
        <w:spacing w:line="400" w:lineRule="exact"/>
        <w:ind w:firstLine="470" w:firstLineChars="196"/>
        <w:rPr>
          <w:color w:val="000000" w:themeColor="text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w:t>
      </w:r>
      <w:r>
        <w:rPr>
          <w:rFonts w:ascii="宋体" w:hAnsi="宋体"/>
          <w:color w:val="000000" w:themeColor="text1"/>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pStyle w:val="2"/>
        <w:spacing w:line="400" w:lineRule="exact"/>
        <w:rPr>
          <w:lang w:val="en-US"/>
        </w:rPr>
      </w:pPr>
      <w:r>
        <w:rPr>
          <w:rFonts w:hint="eastAsia"/>
          <w:lang w:val="en-US"/>
        </w:rPr>
        <w:t>3.5</w:t>
      </w:r>
      <w:r>
        <w:rPr>
          <w:rFonts w:hint="eastAsia"/>
        </w:rPr>
        <w:t>现场踏勘确认函（复印件加盖投标人公章）。</w:t>
      </w:r>
    </w:p>
    <w:p>
      <w:pPr>
        <w:pStyle w:val="2"/>
        <w:rPr>
          <w:rFonts w:hint="default" w:eastAsia="宋体"/>
          <w:lang w:val="en-US" w:eastAsia="zh-CN"/>
        </w:rPr>
      </w:pPr>
      <w:r>
        <w:rPr>
          <w:rFonts w:hint="eastAsia"/>
          <w:color w:val="000000" w:themeColor="text1"/>
          <w:kern w:val="0"/>
          <w:sz w:val="24"/>
          <w:szCs w:val="24"/>
          <w:lang w:val="en-US" w:eastAsia="zh-CN"/>
          <w14:textFill>
            <w14:solidFill>
              <w14:schemeClr w14:val="tx1"/>
            </w14:solidFill>
          </w14:textFill>
        </w:rPr>
        <w:t>3.6参加本次投标的投标人若非生产企业，对语音室设备（语言实验室软件、云桌面管理软件）须具有产品经销商或代理商资格（生产商对项目授权视同满足要求）(签订合同前须提供相关资质证明)；</w:t>
      </w:r>
    </w:p>
    <w:p>
      <w:pPr>
        <w:spacing w:line="40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4.</w:t>
      </w:r>
      <w:r>
        <w:rPr>
          <w:rFonts w:hint="eastAsia"/>
          <w:color w:val="000000" w:themeColor="text1"/>
          <w:kern w:val="0"/>
          <w:sz w:val="24"/>
          <w:szCs w:val="24"/>
          <w14:textFill>
            <w14:solidFill>
              <w14:schemeClr w14:val="tx1"/>
            </w14:solidFill>
          </w14:textFill>
        </w:rPr>
        <w:t>技术（服务、商务）要求响应偏离表（格式见第四章）</w:t>
      </w:r>
    </w:p>
    <w:p>
      <w:pPr>
        <w:spacing w:line="400" w:lineRule="exact"/>
        <w:ind w:firstLine="480" w:firstLineChars="200"/>
        <w:rPr>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投标人应对招标文件第二章中的技术（服务、商务等）要求逐项做出响应或偏离，未提供偏离表的，按照整体负偏离处理；未逐项表达响应情况的，未反映响应情况的项目按照负偏离处理</w:t>
      </w:r>
      <w:r>
        <w:rPr>
          <w:rFonts w:hint="eastAsia"/>
          <w:color w:val="000000" w:themeColor="text1"/>
          <w:kern w:val="0"/>
          <w:sz w:val="24"/>
          <w:szCs w:val="24"/>
          <w14:textFill>
            <w14:solidFill>
              <w14:schemeClr w14:val="tx1"/>
            </w14:solidFill>
          </w14:textFill>
        </w:rPr>
        <w:t>。</w:t>
      </w:r>
    </w:p>
    <w:p>
      <w:pPr>
        <w:spacing w:line="40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5.</w:t>
      </w:r>
      <w:r>
        <w:rPr>
          <w:rFonts w:hint="eastAsia"/>
          <w:color w:val="000000" w:themeColor="text1"/>
          <w:kern w:val="0"/>
          <w:sz w:val="24"/>
          <w:szCs w:val="24"/>
          <w14:textFill>
            <w14:solidFill>
              <w14:schemeClr w14:val="tx1"/>
            </w14:solidFill>
          </w14:textFill>
        </w:rPr>
        <w:t>售后服务承诺</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0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6.</w:t>
      </w:r>
      <w:r>
        <w:rPr>
          <w:rFonts w:hint="eastAsia"/>
          <w:color w:val="000000" w:themeColor="text1"/>
          <w:kern w:val="0"/>
          <w:sz w:val="24"/>
          <w:szCs w:val="24"/>
          <w14:textFill>
            <w14:solidFill>
              <w14:schemeClr w14:val="tx1"/>
            </w14:solidFill>
          </w14:textFill>
        </w:rPr>
        <w:t>所投设备（服务）的技术资料</w:t>
      </w:r>
    </w:p>
    <w:p>
      <w:pPr>
        <w:spacing w:line="400" w:lineRule="exact"/>
        <w:ind w:firstLine="480" w:firstLineChars="200"/>
        <w:rPr>
          <w:rFonts w:ascii="宋体" w:hAnsi="宋体"/>
          <w:color w:val="000000"/>
          <w:sz w:val="24"/>
          <w:szCs w:val="24"/>
        </w:rPr>
      </w:pPr>
      <w:r>
        <w:rPr>
          <w:rFonts w:ascii="宋体" w:hAnsi="宋体"/>
          <w:color w:val="000000"/>
          <w:sz w:val="24"/>
          <w:szCs w:val="24"/>
        </w:rPr>
        <w:t>6.1</w:t>
      </w:r>
      <w:r>
        <w:rPr>
          <w:rFonts w:hint="eastAsia" w:ascii="宋体" w:hAnsi="宋体"/>
          <w:color w:val="000000"/>
          <w:sz w:val="24"/>
          <w:szCs w:val="24"/>
        </w:rPr>
        <w:t>投标货物的详细供货清单（主要包括配置情况、主要部件、配套件等的名称、品牌、型号规格、桌椅设计方案图纸、主要技术参数及性能、数量、单价等）；</w:t>
      </w:r>
    </w:p>
    <w:p>
      <w:pPr>
        <w:spacing w:line="400" w:lineRule="exact"/>
        <w:ind w:firstLine="480" w:firstLineChars="200"/>
        <w:rPr>
          <w:rFonts w:ascii="宋体" w:hAnsi="宋体"/>
          <w:color w:val="000000"/>
          <w:sz w:val="24"/>
          <w:szCs w:val="24"/>
        </w:rPr>
      </w:pPr>
      <w:r>
        <w:rPr>
          <w:rFonts w:ascii="宋体" w:hAnsi="宋体"/>
          <w:color w:val="000000"/>
          <w:sz w:val="24"/>
          <w:szCs w:val="24"/>
        </w:rPr>
        <w:t>6.2</w:t>
      </w:r>
      <w:r>
        <w:rPr>
          <w:rFonts w:hint="eastAsia" w:ascii="宋体" w:hAnsi="宋体"/>
          <w:color w:val="000000"/>
          <w:sz w:val="24"/>
          <w:szCs w:val="24"/>
        </w:rPr>
        <w:t>卖方对买方操作、维护人员培训方案（包括培训人数、时间、地点、目的、内容、培训程度等）；</w:t>
      </w:r>
    </w:p>
    <w:p>
      <w:pPr>
        <w:pStyle w:val="2"/>
        <w:rPr>
          <w:rFonts w:ascii="宋体" w:hAnsi="宋体"/>
          <w:color w:val="000000"/>
          <w:szCs w:val="24"/>
        </w:rPr>
      </w:pPr>
      <w:r>
        <w:rPr>
          <w:rFonts w:ascii="宋体" w:hAnsi="宋体"/>
          <w:color w:val="000000"/>
          <w:szCs w:val="24"/>
        </w:rPr>
        <w:t xml:space="preserve">6.3 </w:t>
      </w:r>
      <w:r>
        <w:rPr>
          <w:rFonts w:hint="eastAsia" w:ascii="宋体" w:hAnsi="宋体"/>
          <w:color w:val="000000"/>
          <w:szCs w:val="24"/>
        </w:rPr>
        <w:t>卖方关于投标货物知识产权的承诺书；</w:t>
      </w:r>
    </w:p>
    <w:p>
      <w:pPr>
        <w:widowControl/>
        <w:shd w:val="clear" w:color="auto" w:fill="FFFFFF"/>
        <w:spacing w:line="400" w:lineRule="exact"/>
        <w:ind w:firstLine="440"/>
        <w:jc w:val="left"/>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投标人2017年</w:t>
      </w: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月以来与本项目直接相关的服务业绩目录及供货合同复印件等材料，合同</w:t>
      </w:r>
      <w:r>
        <w:rPr>
          <w:rFonts w:ascii="宋体" w:hAnsi="宋体" w:cs="宋体"/>
          <w:color w:val="000000" w:themeColor="text1"/>
          <w:kern w:val="0"/>
          <w:sz w:val="24"/>
          <w:szCs w:val="24"/>
          <w14:textFill>
            <w14:solidFill>
              <w14:schemeClr w14:val="tx1"/>
            </w14:solidFill>
          </w14:textFill>
        </w:rPr>
        <w:t>原件备查</w:t>
      </w:r>
      <w:r>
        <w:rPr>
          <w:rFonts w:hint="eastAsia" w:ascii="宋体" w:hAnsi="宋体" w:cs="宋体"/>
          <w:color w:val="000000" w:themeColor="text1"/>
          <w:kern w:val="0"/>
          <w:sz w:val="24"/>
          <w:szCs w:val="24"/>
          <w14:textFill>
            <w14:solidFill>
              <w14:schemeClr w14:val="tx1"/>
            </w14:solidFill>
          </w14:textFill>
        </w:rPr>
        <w:t>。（格式见第四章）</w:t>
      </w:r>
    </w:p>
    <w:p>
      <w:pPr>
        <w:widowControl/>
        <w:shd w:val="clear" w:color="auto" w:fill="FFFFFF"/>
        <w:spacing w:line="400" w:lineRule="exact"/>
        <w:ind w:firstLine="440"/>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8.</w:t>
      </w:r>
      <w:r>
        <w:rPr>
          <w:rFonts w:hint="eastAsia" w:ascii="宋体" w:cs="宋体"/>
          <w:color w:val="000000" w:themeColor="text1"/>
          <w:kern w:val="0"/>
          <w:sz w:val="24"/>
          <w:szCs w:val="24"/>
          <w14:textFill>
            <w14:solidFill>
              <w14:schemeClr w14:val="tx1"/>
            </w14:solidFill>
          </w14:textFill>
        </w:rPr>
        <w:t>评分标准中涉及的其他相关材料。</w:t>
      </w:r>
    </w:p>
    <w:p>
      <w:pPr>
        <w:widowControl/>
        <w:shd w:val="clear" w:color="auto" w:fill="FFFFFF"/>
        <w:spacing w:line="400" w:lineRule="exact"/>
        <w:ind w:firstLine="44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9.小微企业声明函（格式见</w:t>
      </w:r>
      <w:r>
        <w:rPr>
          <w:rFonts w:ascii="宋体" w:hAnsi="宋体" w:cs="宋体"/>
          <w:color w:val="000000" w:themeColor="text1"/>
          <w:kern w:val="0"/>
          <w:sz w:val="24"/>
          <w:szCs w:val="24"/>
          <w14:textFill>
            <w14:solidFill>
              <w14:schemeClr w14:val="tx1"/>
            </w14:solidFill>
          </w14:textFill>
        </w:rPr>
        <w:t>第四章</w:t>
      </w:r>
      <w:r>
        <w:rPr>
          <w:rFonts w:hint="eastAsia" w:ascii="宋体" w:hAnsi="宋体" w:cs="宋体"/>
          <w:color w:val="000000" w:themeColor="text1"/>
          <w:kern w:val="0"/>
          <w:sz w:val="24"/>
          <w:szCs w:val="24"/>
          <w14:textFill>
            <w14:solidFill>
              <w14:schemeClr w14:val="tx1"/>
            </w14:solidFill>
          </w14:textFill>
        </w:rPr>
        <w:t>）及</w:t>
      </w:r>
      <w:r>
        <w:rPr>
          <w:rFonts w:ascii="宋体" w:hAnsi="宋体" w:cs="宋体"/>
          <w:color w:val="000000" w:themeColor="text1"/>
          <w:kern w:val="0"/>
          <w:sz w:val="24"/>
          <w:szCs w:val="24"/>
          <w14:textFill>
            <w14:solidFill>
              <w14:schemeClr w14:val="tx1"/>
            </w14:solidFill>
          </w14:textFill>
        </w:rPr>
        <w:t>相关证明材料</w:t>
      </w:r>
      <w:r>
        <w:rPr>
          <w:rFonts w:hint="eastAsia" w:ascii="宋体" w:hAnsi="宋体" w:cs="宋体"/>
          <w:color w:val="000000" w:themeColor="text1"/>
          <w:kern w:val="0"/>
          <w:sz w:val="24"/>
          <w:szCs w:val="24"/>
          <w14:textFill>
            <w14:solidFill>
              <w14:schemeClr w14:val="tx1"/>
            </w14:solidFill>
          </w14:textFill>
        </w:rPr>
        <w:t>（</w:t>
      </w:r>
      <w:r>
        <w:rPr>
          <w:rFonts w:hint="eastAsia" w:asciiTheme="minorEastAsia" w:hAnsiTheme="minorEastAsia" w:eastAsiaTheme="minorEastAsia"/>
          <w:sz w:val="24"/>
          <w:szCs w:val="24"/>
        </w:rPr>
        <w:t>证明</w:t>
      </w:r>
      <w:r>
        <w:rPr>
          <w:rFonts w:asciiTheme="minorEastAsia" w:hAnsiTheme="minorEastAsia" w:eastAsiaTheme="minorEastAsia"/>
          <w:sz w:val="24"/>
          <w:szCs w:val="24"/>
        </w:rPr>
        <w:t>材料一般</w:t>
      </w:r>
      <w:r>
        <w:rPr>
          <w:rFonts w:hint="eastAsia" w:asciiTheme="minorEastAsia" w:hAnsiTheme="minorEastAsia" w:eastAsiaTheme="minorEastAsia"/>
          <w:sz w:val="24"/>
          <w:szCs w:val="24"/>
        </w:rPr>
        <w:t>应</w:t>
      </w:r>
      <w:r>
        <w:rPr>
          <w:rFonts w:asciiTheme="minorEastAsia" w:hAnsiTheme="minorEastAsia" w:eastAsiaTheme="minorEastAsia"/>
          <w:sz w:val="24"/>
          <w:szCs w:val="24"/>
        </w:rPr>
        <w:t>包含</w:t>
      </w:r>
      <w:r>
        <w:rPr>
          <w:rFonts w:hint="eastAsia" w:asciiTheme="minorEastAsia" w:hAnsiTheme="minorEastAsia" w:eastAsiaTheme="minorEastAsia"/>
          <w:sz w:val="24"/>
          <w:szCs w:val="24"/>
        </w:rPr>
        <w:t>可以反映企业</w:t>
      </w:r>
      <w:r>
        <w:rPr>
          <w:rFonts w:asciiTheme="minorEastAsia" w:hAnsiTheme="minorEastAsia" w:eastAsiaTheme="minorEastAsia"/>
          <w:sz w:val="24"/>
          <w:szCs w:val="24"/>
        </w:rPr>
        <w:t>年营业收入、从业人员、资产总额等</w:t>
      </w:r>
      <w:r>
        <w:rPr>
          <w:rFonts w:hint="eastAsia" w:asciiTheme="minorEastAsia" w:hAnsiTheme="minorEastAsia" w:eastAsiaTheme="minorEastAsia"/>
          <w:sz w:val="24"/>
          <w:szCs w:val="24"/>
        </w:rPr>
        <w:t>信息的材料</w:t>
      </w:r>
      <w:r>
        <w:rPr>
          <w:rFonts w:hint="eastAsia" w:ascii="宋体" w:hAnsi="宋体" w:cs="宋体"/>
          <w:color w:val="000000" w:themeColor="text1"/>
          <w:kern w:val="0"/>
          <w:sz w:val="24"/>
          <w:szCs w:val="24"/>
          <w14:textFill>
            <w14:solidFill>
              <w14:schemeClr w14:val="tx1"/>
            </w14:solidFill>
          </w14:textFill>
        </w:rPr>
        <w:t>）。未提供</w:t>
      </w:r>
      <w:r>
        <w:rPr>
          <w:rFonts w:ascii="宋体" w:hAnsi="宋体" w:cs="宋体"/>
          <w:color w:val="000000" w:themeColor="text1"/>
          <w:kern w:val="0"/>
          <w:sz w:val="24"/>
          <w:szCs w:val="24"/>
          <w14:textFill>
            <w14:solidFill>
              <w14:schemeClr w14:val="tx1"/>
            </w14:solidFill>
          </w14:textFill>
        </w:rPr>
        <w:t>者，作为放弃小</w:t>
      </w:r>
      <w:r>
        <w:rPr>
          <w:rFonts w:hint="eastAsia" w:ascii="宋体" w:hAnsi="宋体" w:cs="宋体"/>
          <w:color w:val="000000" w:themeColor="text1"/>
          <w:kern w:val="0"/>
          <w:sz w:val="24"/>
          <w:szCs w:val="24"/>
          <w14:textFill>
            <w14:solidFill>
              <w14:schemeClr w14:val="tx1"/>
            </w14:solidFill>
          </w14:textFill>
        </w:rPr>
        <w:t>微</w:t>
      </w:r>
      <w:r>
        <w:rPr>
          <w:rFonts w:ascii="宋体" w:hAnsi="宋体" w:cs="宋体"/>
          <w:color w:val="000000" w:themeColor="text1"/>
          <w:kern w:val="0"/>
          <w:sz w:val="24"/>
          <w:szCs w:val="24"/>
          <w14:textFill>
            <w14:solidFill>
              <w14:schemeClr w14:val="tx1"/>
            </w14:solidFill>
          </w14:textFill>
        </w:rPr>
        <w:t>企业资格处理。</w:t>
      </w:r>
    </w:p>
    <w:p>
      <w:pPr>
        <w:widowControl/>
        <w:shd w:val="clear" w:color="auto" w:fill="FFFFFF"/>
        <w:spacing w:line="400" w:lineRule="exact"/>
        <w:ind w:firstLine="440"/>
        <w:jc w:val="left"/>
        <w:rPr>
          <w:rFonts w:ascii="宋体" w:cs="宋体"/>
          <w:color w:val="000000" w:themeColor="text1"/>
          <w:kern w:val="0"/>
          <w:sz w:val="24"/>
          <w:szCs w:val="24"/>
          <w14:textFill>
            <w14:solidFill>
              <w14:schemeClr w14:val="tx1"/>
            </w14:solidFill>
          </w14:textFill>
        </w:rPr>
      </w:pPr>
      <w:r>
        <w:rPr>
          <w:rFonts w:ascii="宋体" w:cs="宋体"/>
          <w:color w:val="000000" w:themeColor="text1"/>
          <w:kern w:val="0"/>
          <w:sz w:val="24"/>
          <w:szCs w:val="24"/>
          <w14:textFill>
            <w14:solidFill>
              <w14:schemeClr w14:val="tx1"/>
            </w14:solidFill>
          </w14:textFill>
        </w:rPr>
        <w:t>10</w:t>
      </w:r>
      <w:r>
        <w:rPr>
          <w:rFonts w:hint="eastAsia" w:ascii="宋体" w:cs="宋体"/>
          <w:color w:val="000000" w:themeColor="text1"/>
          <w:kern w:val="0"/>
          <w:sz w:val="24"/>
          <w:szCs w:val="24"/>
          <w14:textFill>
            <w14:solidFill>
              <w14:schemeClr w14:val="tx1"/>
            </w14:solidFill>
          </w14:textFill>
        </w:rPr>
        <w:t>.投标人认为需要提供的</w:t>
      </w:r>
      <w:r>
        <w:rPr>
          <w:rFonts w:hint="eastAsia" w:ascii="宋体" w:hAnsi="宋体" w:cs="宋体"/>
          <w:color w:val="000000" w:themeColor="text1"/>
          <w:kern w:val="0"/>
          <w:sz w:val="24"/>
          <w:szCs w:val="24"/>
          <w14:textFill>
            <w14:solidFill>
              <w14:schemeClr w14:val="tx1"/>
            </w14:solidFill>
          </w14:textFill>
        </w:rPr>
        <w:t>其他相关材料</w:t>
      </w:r>
      <w:r>
        <w:rPr>
          <w:rFonts w:hint="eastAsia" w:ascii="宋体" w:hAnsi="宋体" w:cs="宋体"/>
          <w:color w:val="000000"/>
          <w:kern w:val="0"/>
          <w:sz w:val="24"/>
          <w:szCs w:val="24"/>
        </w:rPr>
        <w:t>（认证材料，知识产权资料等）</w:t>
      </w:r>
      <w:r>
        <w:rPr>
          <w:rFonts w:hint="eastAsia" w:ascii="宋体" w:hAnsi="宋体" w:cs="宋体"/>
          <w:color w:val="000000" w:themeColor="text1"/>
          <w:kern w:val="0"/>
          <w:sz w:val="24"/>
          <w:szCs w:val="24"/>
          <w14:textFill>
            <w14:solidFill>
              <w14:schemeClr w14:val="tx1"/>
            </w14:solidFill>
          </w14:textFill>
        </w:rPr>
        <w:t>。</w:t>
      </w:r>
    </w:p>
    <w:p>
      <w:pPr>
        <w:widowControl/>
        <w:shd w:val="clear" w:color="auto" w:fill="FFFFFF"/>
        <w:spacing w:line="400" w:lineRule="exact"/>
        <w:ind w:firstLine="440"/>
        <w:jc w:val="left"/>
        <w:rPr>
          <w:rFonts w:asciiTheme="minorEastAsia" w:hAnsiTheme="minorEastAsia" w:eastAsiaTheme="minorEastAsia"/>
          <w:sz w:val="24"/>
          <w:szCs w:val="24"/>
        </w:rPr>
      </w:pPr>
      <w:r>
        <w:rPr>
          <w:rFonts w:asciiTheme="minorEastAsia" w:hAnsiTheme="minorEastAsia" w:eastAsiaTheme="minorEastAsia"/>
          <w:sz w:val="24"/>
          <w:szCs w:val="24"/>
        </w:rPr>
        <w:t>11.演示：</w:t>
      </w:r>
      <w:r>
        <w:rPr>
          <w:rFonts w:hint="eastAsia" w:asciiTheme="minorEastAsia" w:hAnsiTheme="minorEastAsia" w:eastAsiaTheme="minorEastAsia"/>
          <w:sz w:val="24"/>
          <w:szCs w:val="24"/>
        </w:rPr>
        <w:t>演示时间不超过10分钟，要求：系统演示。非实质性演示为无效投标（演示项目：详见评分标准演示内容）。</w:t>
      </w:r>
    </w:p>
    <w:p>
      <w:pPr>
        <w:spacing w:line="400" w:lineRule="exact"/>
        <w:ind w:firstLine="480" w:firstLineChars="200"/>
        <w:rPr>
          <w:rFonts w:ascii="宋体" w:cs="宋体"/>
          <w:color w:val="000000" w:themeColor="text1"/>
          <w:kern w:val="0"/>
          <w:sz w:val="24"/>
          <w14:textFill>
            <w14:solidFill>
              <w14:schemeClr w14:val="tx1"/>
            </w14:solidFill>
          </w14:textFill>
        </w:rPr>
      </w:pPr>
      <w:r>
        <w:rPr>
          <w:color w:val="000000" w:themeColor="text1"/>
          <w:sz w:val="24"/>
          <w:szCs w:val="24"/>
          <w14:textFill>
            <w14:solidFill>
              <w14:schemeClr w14:val="tx1"/>
            </w14:solidFill>
          </w14:textFill>
        </w:rPr>
        <w:t>1-10</w:t>
      </w:r>
      <w:r>
        <w:rPr>
          <w:rFonts w:hint="eastAsia"/>
          <w:color w:val="000000" w:themeColor="text1"/>
          <w:sz w:val="24"/>
          <w:szCs w:val="24"/>
          <w14:textFill>
            <w14:solidFill>
              <w14:schemeClr w14:val="tx1"/>
            </w14:solidFill>
          </w14:textFill>
        </w:rPr>
        <w:t>项材料按顺序装订，上述有关原件带至开标现场备查。投标人须</w:t>
      </w:r>
      <w:r>
        <w:rPr>
          <w:rFonts w:hint="eastAsia" w:ascii="宋体" w:hAnsi="宋体" w:cs="宋体"/>
          <w:color w:val="000000" w:themeColor="text1"/>
          <w:kern w:val="0"/>
          <w:sz w:val="24"/>
          <w14:textFill>
            <w14:solidFill>
              <w14:schemeClr w14:val="tx1"/>
            </w14:solidFill>
          </w14:textFill>
        </w:rPr>
        <w:t>编制一式五份投标文件（包括一份正本和四份副本），每份投标文件右上角必须清楚地标明“正本”或“副本”字样，一旦正本和副本不符，以正本为准。</w:t>
      </w:r>
      <w:r>
        <w:rPr>
          <w:rFonts w:hint="eastAsia" w:ascii="宋体" w:hAnsi="宋体"/>
          <w:color w:val="000000" w:themeColor="text1"/>
          <w:sz w:val="24"/>
          <w:szCs w:val="24"/>
          <w14:textFill>
            <w14:solidFill>
              <w14:schemeClr w14:val="tx1"/>
            </w14:solidFill>
          </w14:textFill>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幅面打印或复印，并进行装订，如有资料超过</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幅面折叠成</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幅面；投标文件装订提倡采用胶装的形式。</w:t>
      </w:r>
      <w:r>
        <w:rPr>
          <w:rFonts w:hint="eastAsia" w:ascii="宋体" w:hAnsi="宋体"/>
          <w:color w:val="000000" w:themeColor="text1"/>
          <w:sz w:val="24"/>
          <w14:textFill>
            <w14:solidFill>
              <w14:schemeClr w14:val="tx1"/>
            </w14:solidFill>
          </w14:textFill>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kern w:val="0"/>
          <w:sz w:val="24"/>
          <w14:textFill>
            <w14:solidFill>
              <w14:schemeClr w14:val="tx1"/>
            </w14:solidFill>
          </w14:textFill>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所有证件、证书加注水印或直接标注“仅供参加淮阴工学院招标用”字，未加注者责任自负。</w:t>
      </w:r>
    </w:p>
    <w:p>
      <w:pPr>
        <w:tabs>
          <w:tab w:val="left" w:pos="2820"/>
        </w:tabs>
        <w:spacing w:line="400" w:lineRule="exact"/>
        <w:ind w:firstLine="480" w:firstLineChars="200"/>
        <w:rPr>
          <w:rFonts w:ascii="宋体"/>
          <w:bCs/>
          <w:i/>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投标人应承担其编制投标文件、递交投标文件等所涉及的一切费用，无论评标结果如何，采购人对上述费用均不负任何责任。</w:t>
      </w:r>
      <w:r>
        <w:rPr>
          <w:rFonts w:hint="eastAsia" w:ascii="宋体" w:hAnsi="宋体" w:cs="宋体"/>
          <w:color w:val="000000" w:themeColor="text1"/>
          <w:kern w:val="0"/>
          <w:sz w:val="24"/>
          <w14:textFill>
            <w14:solidFill>
              <w14:schemeClr w14:val="tx1"/>
            </w14:solidFill>
          </w14:textFill>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00" w:lineRule="exact"/>
        <w:ind w:firstLine="540" w:firstLineChars="200"/>
        <w:rPr>
          <w:color w:val="000000" w:themeColor="text1"/>
          <w:spacing w:val="15"/>
          <w:kern w:val="0"/>
          <w:sz w:val="24"/>
          <w:szCs w:val="24"/>
          <w14:textFill>
            <w14:solidFill>
              <w14:schemeClr w14:val="tx1"/>
            </w14:solidFill>
          </w14:textFill>
        </w:rPr>
      </w:pPr>
      <w:r>
        <w:rPr>
          <w:rFonts w:hint="eastAsia"/>
          <w:bCs/>
          <w:color w:val="000000" w:themeColor="text1"/>
          <w:spacing w:val="15"/>
          <w:kern w:val="0"/>
          <w:sz w:val="24"/>
          <w:szCs w:val="24"/>
          <w14:textFill>
            <w14:solidFill>
              <w14:schemeClr w14:val="tx1"/>
            </w14:solidFill>
          </w14:textFill>
        </w:rPr>
        <w:t>七、投标文件递交时间、地点</w:t>
      </w:r>
    </w:p>
    <w:p>
      <w:pPr>
        <w:spacing w:line="40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1.</w:t>
      </w:r>
      <w:r>
        <w:rPr>
          <w:rFonts w:hint="eastAsia"/>
          <w:color w:val="000000" w:themeColor="text1"/>
          <w:spacing w:val="15"/>
          <w:kern w:val="0"/>
          <w:sz w:val="24"/>
          <w:szCs w:val="24"/>
          <w14:textFill>
            <w14:solidFill>
              <w14:schemeClr w14:val="tx1"/>
            </w14:solidFill>
          </w14:textFill>
        </w:rPr>
        <w:t>投标文件递交时间</w:t>
      </w:r>
    </w:p>
    <w:p>
      <w:pPr>
        <w:spacing w:line="400" w:lineRule="exact"/>
        <w:ind w:firstLine="540" w:firstLineChars="200"/>
        <w:rPr>
          <w:color w:val="000000" w:themeColor="text1"/>
          <w:spacing w:val="15"/>
          <w:kern w:val="0"/>
          <w:sz w:val="24"/>
          <w:szCs w:val="24"/>
          <w14:textFill>
            <w14:solidFill>
              <w14:schemeClr w14:val="tx1"/>
            </w14:solidFill>
          </w14:textFill>
        </w:rPr>
      </w:pPr>
      <w:r>
        <w:rPr>
          <w:rFonts w:hint="eastAsia" w:ascii="宋体" w:hAnsi="宋体" w:cs="Arial"/>
          <w:color w:val="000000" w:themeColor="text1"/>
          <w:spacing w:val="15"/>
          <w:kern w:val="0"/>
          <w:sz w:val="24"/>
          <w:szCs w:val="24"/>
          <w14:textFill>
            <w14:solidFill>
              <w14:schemeClr w14:val="tx1"/>
            </w14:solidFill>
          </w14:textFill>
        </w:rPr>
        <w:t>2020年</w:t>
      </w:r>
      <w:r>
        <w:rPr>
          <w:rFonts w:ascii="宋体" w:hAnsi="宋体" w:cs="Arial"/>
          <w:color w:val="000000" w:themeColor="text1"/>
          <w:spacing w:val="15"/>
          <w:kern w:val="0"/>
          <w:sz w:val="24"/>
          <w:szCs w:val="24"/>
          <w14:textFill>
            <w14:solidFill>
              <w14:schemeClr w14:val="tx1"/>
            </w14:solidFill>
          </w14:textFill>
        </w:rPr>
        <w:t>11</w:t>
      </w:r>
      <w:r>
        <w:rPr>
          <w:rFonts w:hint="eastAsia" w:ascii="宋体" w:hAnsi="宋体" w:cs="Arial"/>
          <w:color w:val="000000" w:themeColor="text1"/>
          <w:spacing w:val="15"/>
          <w:kern w:val="0"/>
          <w:sz w:val="24"/>
          <w:szCs w:val="24"/>
          <w14:textFill>
            <w14:solidFill>
              <w14:schemeClr w14:val="tx1"/>
            </w14:solidFill>
          </w14:textFill>
        </w:rPr>
        <w:t>月</w:t>
      </w:r>
      <w:r>
        <w:rPr>
          <w:rFonts w:hint="eastAsia" w:ascii="宋体" w:hAnsi="宋体" w:cs="Arial"/>
          <w:color w:val="000000" w:themeColor="text1"/>
          <w:spacing w:val="15"/>
          <w:kern w:val="0"/>
          <w:sz w:val="24"/>
          <w:szCs w:val="24"/>
          <w:lang w:val="en-US" w:eastAsia="zh-CN"/>
          <w14:textFill>
            <w14:solidFill>
              <w14:schemeClr w14:val="tx1"/>
            </w14:solidFill>
          </w14:textFill>
        </w:rPr>
        <w:t>26</w:t>
      </w:r>
      <w:r>
        <w:rPr>
          <w:rFonts w:hint="eastAsia" w:ascii="宋体" w:hAnsi="宋体" w:cs="Arial"/>
          <w:color w:val="000000" w:themeColor="text1"/>
          <w:spacing w:val="15"/>
          <w:kern w:val="0"/>
          <w:sz w:val="24"/>
          <w:szCs w:val="24"/>
          <w14:textFill>
            <w14:solidFill>
              <w14:schemeClr w14:val="tx1"/>
            </w14:solidFill>
          </w14:textFill>
        </w:rPr>
        <w:t>日下午</w:t>
      </w:r>
      <w:r>
        <w:rPr>
          <w:rFonts w:ascii="宋体" w:hAnsi="宋体" w:cs="Arial"/>
          <w:color w:val="000000" w:themeColor="text1"/>
          <w:spacing w:val="15"/>
          <w:kern w:val="0"/>
          <w:sz w:val="24"/>
          <w:szCs w:val="24"/>
          <w14:textFill>
            <w14:solidFill>
              <w14:schemeClr w14:val="tx1"/>
            </w14:solidFill>
          </w14:textFill>
        </w:rPr>
        <w:t>2:</w:t>
      </w:r>
      <w:r>
        <w:rPr>
          <w:rFonts w:ascii="宋体" w:cs="Arial"/>
          <w:color w:val="000000" w:themeColor="text1"/>
          <w:spacing w:val="15"/>
          <w:kern w:val="0"/>
          <w:sz w:val="24"/>
          <w:szCs w:val="24"/>
          <w14:textFill>
            <w14:solidFill>
              <w14:schemeClr w14:val="tx1"/>
            </w14:solidFill>
          </w14:textFill>
        </w:rPr>
        <w:t>3</w:t>
      </w:r>
      <w:r>
        <w:rPr>
          <w:rFonts w:ascii="宋体" w:hAnsi="宋体" w:cs="Arial"/>
          <w:color w:val="000000" w:themeColor="text1"/>
          <w:spacing w:val="15"/>
          <w:kern w:val="0"/>
          <w:sz w:val="24"/>
          <w:szCs w:val="24"/>
          <w14:textFill>
            <w14:solidFill>
              <w14:schemeClr w14:val="tx1"/>
            </w14:solidFill>
          </w14:textFill>
        </w:rPr>
        <w:t>0-</w:t>
      </w:r>
      <w:r>
        <w:rPr>
          <w:rFonts w:hint="eastAsia" w:ascii="宋体" w:hAnsi="宋体" w:cs="Arial"/>
          <w:color w:val="000000" w:themeColor="text1"/>
          <w:spacing w:val="15"/>
          <w:kern w:val="0"/>
          <w:sz w:val="24"/>
          <w:szCs w:val="24"/>
          <w:lang w:val="en-US" w:eastAsia="zh-CN"/>
          <w14:textFill>
            <w14:solidFill>
              <w14:schemeClr w14:val="tx1"/>
            </w14:solidFill>
          </w14:textFill>
        </w:rPr>
        <w:t>3</w:t>
      </w:r>
      <w:r>
        <w:rPr>
          <w:rFonts w:ascii="宋体" w:hAnsi="宋体" w:cs="Arial"/>
          <w:color w:val="000000" w:themeColor="text1"/>
          <w:spacing w:val="15"/>
          <w:kern w:val="0"/>
          <w:sz w:val="24"/>
          <w:szCs w:val="24"/>
          <w14:textFill>
            <w14:solidFill>
              <w14:schemeClr w14:val="tx1"/>
            </w14:solidFill>
          </w14:textFill>
        </w:rPr>
        <w:t>:0</w:t>
      </w:r>
      <w:r>
        <w:rPr>
          <w:rFonts w:ascii="宋体" w:cs="Arial"/>
          <w:color w:val="000000" w:themeColor="text1"/>
          <w:spacing w:val="15"/>
          <w:kern w:val="0"/>
          <w:sz w:val="24"/>
          <w:szCs w:val="24"/>
          <w14:textFill>
            <w14:solidFill>
              <w14:schemeClr w14:val="tx1"/>
            </w14:solidFill>
          </w14:textFill>
        </w:rPr>
        <w:t>0</w:t>
      </w:r>
      <w:r>
        <w:rPr>
          <w:rFonts w:hint="eastAsia" w:ascii="宋体" w:hAnsi="宋体" w:cs="Arial"/>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采购人拒绝接收在规定的投标截止时间后递交的任何投标文件。</w:t>
      </w:r>
    </w:p>
    <w:p>
      <w:pPr>
        <w:spacing w:line="40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投标人须服从学校新冠肺炎防控管理，须安排健康人员参加投标、开标活动，现场服从学校管理。</w:t>
      </w:r>
    </w:p>
    <w:p>
      <w:pPr>
        <w:spacing w:line="40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2.</w:t>
      </w:r>
      <w:r>
        <w:rPr>
          <w:rFonts w:hint="eastAsia" w:ascii="Arial" w:hAnsi="Arial" w:cs="Arial"/>
          <w:color w:val="000000" w:themeColor="text1"/>
          <w:kern w:val="0"/>
          <w:sz w:val="24"/>
          <w:szCs w:val="24"/>
          <w14:textFill>
            <w14:solidFill>
              <w14:schemeClr w14:val="tx1"/>
            </w14:solidFill>
          </w14:textFill>
        </w:rPr>
        <w:t>投标文件接收地点</w:t>
      </w:r>
    </w:p>
    <w:p>
      <w:pPr>
        <w:spacing w:line="40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投标人凭汇款转账凭证</w:t>
      </w:r>
      <w:r>
        <w:rPr>
          <w:rFonts w:ascii="Arial" w:hAnsi="Arial" w:cs="Arial"/>
          <w:color w:val="000000" w:themeColor="text1"/>
          <w:kern w:val="0"/>
          <w:sz w:val="24"/>
          <w:szCs w:val="24"/>
          <w14:textFill>
            <w14:solidFill>
              <w14:schemeClr w14:val="tx1"/>
            </w14:solidFill>
          </w14:textFill>
        </w:rPr>
        <w:t>(</w:t>
      </w:r>
      <w:r>
        <w:rPr>
          <w:rFonts w:hint="eastAsia" w:ascii="Arial" w:hAnsi="Arial" w:cs="Arial"/>
          <w:color w:val="000000" w:themeColor="text1"/>
          <w:kern w:val="0"/>
          <w:sz w:val="24"/>
          <w:szCs w:val="24"/>
          <w14:textFill>
            <w14:solidFill>
              <w14:schemeClr w14:val="tx1"/>
            </w14:solidFill>
          </w14:textFill>
        </w:rPr>
        <w:t>材料费）送达到淮阴工学院招标办（淮阴工学院枚乘路校区北园大门东侧收发室或其他指定地点），送往其它部门无效。</w:t>
      </w:r>
    </w:p>
    <w:p>
      <w:pPr>
        <w:spacing w:line="40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投标有效期</w:t>
      </w:r>
    </w:p>
    <w:p>
      <w:pPr>
        <w:spacing w:line="40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从提交投标文件的截止之日起</w:t>
      </w:r>
      <w:r>
        <w:rPr>
          <w:color w:val="000000" w:themeColor="text1"/>
          <w:spacing w:val="15"/>
          <w:kern w:val="0"/>
          <w:sz w:val="24"/>
          <w:szCs w:val="24"/>
          <w14:textFill>
            <w14:solidFill>
              <w14:schemeClr w14:val="tx1"/>
            </w14:solidFill>
          </w14:textFill>
        </w:rPr>
        <w:t>90</w:t>
      </w:r>
      <w:r>
        <w:rPr>
          <w:rFonts w:hint="eastAsia"/>
          <w:color w:val="000000" w:themeColor="text1"/>
          <w:spacing w:val="15"/>
          <w:kern w:val="0"/>
          <w:sz w:val="24"/>
          <w:szCs w:val="24"/>
          <w14:textFill>
            <w14:solidFill>
              <w14:schemeClr w14:val="tx1"/>
            </w14:solidFill>
          </w14:textFill>
        </w:rPr>
        <w:t>天。</w:t>
      </w:r>
      <w:r>
        <w:rPr>
          <w:rFonts w:hint="eastAsia" w:ascii="Arial" w:hAnsi="Arial" w:cs="Arial"/>
          <w:color w:val="000000" w:themeColor="text1"/>
          <w:kern w:val="0"/>
          <w:sz w:val="24"/>
          <w:szCs w:val="24"/>
          <w14:textFill>
            <w14:solidFill>
              <w14:schemeClr w14:val="tx1"/>
            </w14:solidFill>
          </w14:textFill>
        </w:rPr>
        <w:t>投标文件中承诺投标有效期少于</w:t>
      </w:r>
      <w:r>
        <w:rPr>
          <w:rFonts w:ascii="Arial" w:hAnsi="Arial" w:cs="Arial"/>
          <w:color w:val="000000" w:themeColor="text1"/>
          <w:kern w:val="0"/>
          <w:sz w:val="24"/>
          <w:szCs w:val="24"/>
          <w14:textFill>
            <w14:solidFill>
              <w14:schemeClr w14:val="tx1"/>
            </w14:solidFill>
          </w14:textFill>
        </w:rPr>
        <w:t>90</w:t>
      </w:r>
      <w:r>
        <w:rPr>
          <w:rFonts w:hint="eastAsia" w:ascii="Arial" w:hAnsi="Arial" w:cs="Arial"/>
          <w:color w:val="000000" w:themeColor="text1"/>
          <w:kern w:val="0"/>
          <w:sz w:val="24"/>
          <w:szCs w:val="24"/>
          <w14:textFill>
            <w14:solidFill>
              <w14:schemeClr w14:val="tx1"/>
            </w14:solidFill>
          </w14:textFill>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40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4.</w:t>
      </w:r>
      <w:r>
        <w:rPr>
          <w:rFonts w:hint="eastAsia" w:ascii="Arial" w:hAnsi="Arial" w:cs="Arial"/>
          <w:color w:val="000000" w:themeColor="text1"/>
          <w:kern w:val="0"/>
          <w:sz w:val="24"/>
          <w:szCs w:val="24"/>
          <w14:textFill>
            <w14:solidFill>
              <w14:schemeClr w14:val="tx1"/>
            </w14:solidFill>
          </w14:textFill>
        </w:rPr>
        <w:t>投标文件的修改和撤回</w:t>
      </w:r>
    </w:p>
    <w:p>
      <w:pPr>
        <w:spacing w:line="40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投标人在递交投标文件后可以对其修改或撤回，但这种修改和撤回，必须在规定的投标截止时间前。投标人不得在投标截止时间起至投标有效期满前撤回投标文件。</w:t>
      </w:r>
    </w:p>
    <w:p>
      <w:pPr>
        <w:tabs>
          <w:tab w:val="left" w:pos="2820"/>
        </w:tabs>
        <w:spacing w:line="400" w:lineRule="exact"/>
        <w:ind w:firstLine="540" w:firstLineChars="200"/>
        <w:rPr>
          <w:rFonts w:ascii="宋体" w:cs="Arial"/>
          <w:color w:val="000000" w:themeColor="text1"/>
          <w:spacing w:val="15"/>
          <w:kern w:val="0"/>
          <w:sz w:val="24"/>
          <w14:textFill>
            <w14:solidFill>
              <w14:schemeClr w14:val="tx1"/>
            </w14:solidFill>
          </w14:textFill>
        </w:rPr>
      </w:pPr>
      <w:r>
        <w:rPr>
          <w:rFonts w:hint="eastAsia" w:ascii="宋体" w:hAnsi="宋体" w:cs="Arial"/>
          <w:bCs/>
          <w:color w:val="000000" w:themeColor="text1"/>
          <w:spacing w:val="15"/>
          <w:kern w:val="0"/>
          <w:sz w:val="24"/>
          <w14:textFill>
            <w14:solidFill>
              <w14:schemeClr w14:val="tx1"/>
            </w14:solidFill>
          </w14:textFill>
        </w:rPr>
        <w:t>八、开标时间及地点</w:t>
      </w:r>
    </w:p>
    <w:p>
      <w:pPr>
        <w:widowControl/>
        <w:spacing w:line="40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1</w:t>
      </w:r>
      <w:r>
        <w:rPr>
          <w:rFonts w:ascii="宋体" w:cs="Arial"/>
          <w:color w:val="000000" w:themeColor="text1"/>
          <w:spacing w:val="15"/>
          <w:kern w:val="0"/>
          <w:sz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开标时间：</w:t>
      </w:r>
      <w:r>
        <w:rPr>
          <w:rFonts w:hint="eastAsia" w:ascii="宋体" w:hAnsi="宋体" w:cs="Arial"/>
          <w:color w:val="000000" w:themeColor="text1"/>
          <w:spacing w:val="15"/>
          <w:kern w:val="0"/>
          <w:sz w:val="24"/>
          <w:szCs w:val="24"/>
          <w14:textFill>
            <w14:solidFill>
              <w14:schemeClr w14:val="tx1"/>
            </w14:solidFill>
          </w14:textFill>
        </w:rPr>
        <w:t>2020年</w:t>
      </w:r>
      <w:r>
        <w:rPr>
          <w:rFonts w:ascii="宋体" w:hAnsi="宋体" w:cs="Arial"/>
          <w:color w:val="000000" w:themeColor="text1"/>
          <w:spacing w:val="15"/>
          <w:kern w:val="0"/>
          <w:sz w:val="24"/>
          <w:szCs w:val="24"/>
          <w14:textFill>
            <w14:solidFill>
              <w14:schemeClr w14:val="tx1"/>
            </w14:solidFill>
          </w14:textFill>
        </w:rPr>
        <w:t>11</w:t>
      </w:r>
      <w:r>
        <w:rPr>
          <w:rFonts w:hint="eastAsia" w:ascii="宋体" w:hAnsi="宋体" w:cs="Arial"/>
          <w:color w:val="000000" w:themeColor="text1"/>
          <w:spacing w:val="15"/>
          <w:kern w:val="0"/>
          <w:sz w:val="24"/>
          <w:szCs w:val="24"/>
          <w14:textFill>
            <w14:solidFill>
              <w14:schemeClr w14:val="tx1"/>
            </w14:solidFill>
          </w14:textFill>
        </w:rPr>
        <w:t>月</w:t>
      </w:r>
      <w:r>
        <w:rPr>
          <w:rFonts w:hint="eastAsia" w:ascii="宋体" w:hAnsi="宋体" w:cs="Arial"/>
          <w:color w:val="000000" w:themeColor="text1"/>
          <w:spacing w:val="15"/>
          <w:kern w:val="0"/>
          <w:sz w:val="24"/>
          <w:szCs w:val="24"/>
          <w:lang w:val="en-US" w:eastAsia="zh-CN"/>
          <w14:textFill>
            <w14:solidFill>
              <w14:schemeClr w14:val="tx1"/>
            </w14:solidFill>
          </w14:textFill>
        </w:rPr>
        <w:t>26</w:t>
      </w:r>
      <w:r>
        <w:rPr>
          <w:rFonts w:hint="eastAsia" w:ascii="宋体" w:hAnsi="宋体" w:cs="Arial"/>
          <w:color w:val="000000" w:themeColor="text1"/>
          <w:spacing w:val="15"/>
          <w:kern w:val="0"/>
          <w:sz w:val="24"/>
          <w:szCs w:val="24"/>
          <w14:textFill>
            <w14:solidFill>
              <w14:schemeClr w14:val="tx1"/>
            </w14:solidFill>
          </w14:textFill>
        </w:rPr>
        <w:t>日下午</w:t>
      </w:r>
      <w:r>
        <w:rPr>
          <w:rFonts w:hint="eastAsia" w:ascii="宋体" w:hAnsi="宋体" w:cs="Arial"/>
          <w:color w:val="000000" w:themeColor="text1"/>
          <w:spacing w:val="15"/>
          <w:kern w:val="0"/>
          <w:sz w:val="24"/>
          <w:szCs w:val="24"/>
          <w:lang w:val="en-US" w:eastAsia="zh-CN"/>
          <w14:textFill>
            <w14:solidFill>
              <w14:schemeClr w14:val="tx1"/>
            </w14:solidFill>
          </w14:textFill>
        </w:rPr>
        <w:t>3</w:t>
      </w:r>
      <w:r>
        <w:rPr>
          <w:rFonts w:ascii="宋体" w:hAnsi="宋体" w:cs="Arial"/>
          <w:color w:val="000000" w:themeColor="text1"/>
          <w:spacing w:val="15"/>
          <w:kern w:val="0"/>
          <w:sz w:val="24"/>
          <w:szCs w:val="24"/>
          <w14:textFill>
            <w14:solidFill>
              <w14:schemeClr w14:val="tx1"/>
            </w14:solidFill>
          </w14:textFill>
        </w:rPr>
        <w:t>:</w:t>
      </w:r>
      <w:r>
        <w:rPr>
          <w:rFonts w:hint="eastAsia" w:ascii="宋体" w:hAnsi="宋体" w:cs="Arial"/>
          <w:color w:val="000000" w:themeColor="text1"/>
          <w:spacing w:val="15"/>
          <w:kern w:val="0"/>
          <w:sz w:val="24"/>
          <w:szCs w:val="24"/>
          <w:lang w:val="en-US" w:eastAsia="zh-CN"/>
          <w14:textFill>
            <w14:solidFill>
              <w14:schemeClr w14:val="tx1"/>
            </w14:solidFill>
          </w14:textFill>
        </w:rPr>
        <w:t>00</w:t>
      </w:r>
      <w:r>
        <w:rPr>
          <w:rFonts w:hint="eastAsia" w:ascii="宋体" w:hAnsi="宋体" w:cs="Arial"/>
          <w:color w:val="000000" w:themeColor="text1"/>
          <w:spacing w:val="15"/>
          <w:kern w:val="0"/>
          <w:sz w:val="24"/>
          <w14:textFill>
            <w14:solidFill>
              <w14:schemeClr w14:val="tx1"/>
            </w14:solidFill>
          </w14:textFill>
        </w:rPr>
        <w:t>；</w:t>
      </w:r>
    </w:p>
    <w:p>
      <w:pPr>
        <w:widowControl/>
        <w:spacing w:line="400" w:lineRule="exact"/>
        <w:ind w:firstLine="540" w:firstLineChars="200"/>
        <w:jc w:val="left"/>
        <w:rPr>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2</w:t>
      </w:r>
      <w:r>
        <w:rPr>
          <w:rFonts w:ascii="宋体" w:cs="Arial"/>
          <w:color w:val="000000" w:themeColor="text1"/>
          <w:spacing w:val="15"/>
          <w:kern w:val="0"/>
          <w:sz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开标地点：</w:t>
      </w:r>
      <w:r>
        <w:rPr>
          <w:rFonts w:hint="eastAsia" w:ascii="Arial" w:hAnsi="Arial" w:cs="Arial"/>
          <w:color w:val="000000" w:themeColor="text1"/>
          <w:kern w:val="0"/>
          <w:sz w:val="24"/>
          <w:szCs w:val="24"/>
          <w14:textFill>
            <w14:solidFill>
              <w14:schemeClr w14:val="tx1"/>
            </w14:solidFill>
          </w14:textFill>
        </w:rPr>
        <w:t>淮阴工学院枚乘路校区北园大门东侧收发室或其他指定地</w:t>
      </w:r>
      <w:r>
        <w:rPr>
          <w:color w:val="000000" w:themeColor="text1"/>
          <w:kern w:val="0"/>
          <w:sz w:val="24"/>
          <w:szCs w:val="24"/>
          <w14:textFill>
            <w14:solidFill>
              <w14:schemeClr w14:val="tx1"/>
            </w14:solidFill>
          </w14:textFill>
        </w:rPr>
        <w:t>点（联系电话：0517-83559815）</w:t>
      </w:r>
      <w:r>
        <w:rPr>
          <w:color w:val="000000" w:themeColor="text1"/>
          <w:spacing w:val="15"/>
          <w:kern w:val="0"/>
          <w:sz w:val="24"/>
          <w14:textFill>
            <w14:solidFill>
              <w14:schemeClr w14:val="tx1"/>
            </w14:solidFill>
          </w14:textFill>
        </w:rPr>
        <w:t>。</w:t>
      </w:r>
    </w:p>
    <w:p>
      <w:pPr>
        <w:widowControl/>
        <w:spacing w:line="40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3.</w:t>
      </w:r>
      <w:r>
        <w:rPr>
          <w:rFonts w:hint="eastAsia" w:ascii="宋体" w:hAnsi="宋体" w:cs="Arial"/>
          <w:color w:val="000000" w:themeColor="text1"/>
          <w:spacing w:val="15"/>
          <w:kern w:val="0"/>
          <w:sz w:val="24"/>
          <w14:textFill>
            <w14:solidFill>
              <w14:schemeClr w14:val="tx1"/>
            </w14:solidFill>
          </w14:textFill>
        </w:rPr>
        <w:t>投标人应派代表（持授权代表身份证明）参加开标，投标人未派代表参加开标的，视为默认开标结果。</w:t>
      </w:r>
    </w:p>
    <w:p>
      <w:pPr>
        <w:widowControl/>
        <w:shd w:val="clear" w:color="auto" w:fill="FFFFFF"/>
        <w:spacing w:line="400" w:lineRule="exact"/>
        <w:ind w:firstLine="461" w:firstLineChars="171"/>
        <w:rPr>
          <w:color w:val="000000" w:themeColor="text1"/>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九</w:t>
      </w:r>
      <w:r>
        <w:rPr>
          <w:rFonts w:hint="eastAsia"/>
          <w:color w:val="000000" w:themeColor="text1"/>
          <w:kern w:val="0"/>
          <w:sz w:val="24"/>
          <w14:textFill>
            <w14:solidFill>
              <w14:schemeClr w14:val="tx1"/>
            </w14:solidFill>
          </w14:textFill>
        </w:rPr>
        <w:t>、评标办法</w:t>
      </w:r>
    </w:p>
    <w:p>
      <w:pPr>
        <w:widowControl/>
        <w:spacing w:line="40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且按照评审因素的量化指标评审得分最高的投标人为中标候选人的评标方法。</w:t>
      </w:r>
    </w:p>
    <w:p>
      <w:pPr>
        <w:widowControl/>
        <w:spacing w:line="400" w:lineRule="exact"/>
        <w:ind w:firstLine="480" w:firstLineChars="200"/>
        <w:rPr>
          <w:rFonts w:cs="Arial"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sz w:val="24"/>
          <w:szCs w:val="24"/>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w:t>
      </w:r>
      <w:r>
        <w:rPr>
          <w:rFonts w:asciiTheme="minorEastAsia" w:hAnsiTheme="minorEastAsia" w:eastAsiaTheme="minorEastAsia"/>
          <w:sz w:val="24"/>
          <w:szCs w:val="24"/>
        </w:rPr>
        <w:t>10</w:t>
      </w:r>
      <w:r>
        <w:rPr>
          <w:rFonts w:hint="eastAsia" w:asciiTheme="minorEastAsia" w:hAnsiTheme="minorEastAsia" w:eastAsiaTheme="minor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0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评委会将依据评分标准（见下表）进行评标，本评分标准的总分为</w:t>
      </w:r>
      <w:r>
        <w:rPr>
          <w:rFonts w:ascii="Arial" w:hAnsi="Arial" w:cs="Arial"/>
          <w:color w:val="000000" w:themeColor="text1"/>
          <w:kern w:val="0"/>
          <w:sz w:val="24"/>
          <w:szCs w:val="24"/>
          <w14:textFill>
            <w14:solidFill>
              <w14:schemeClr w14:val="tx1"/>
            </w14:solidFill>
          </w14:textFill>
        </w:rPr>
        <w:t>100</w:t>
      </w:r>
      <w:r>
        <w:rPr>
          <w:rFonts w:hint="eastAsia" w:ascii="Arial" w:hAnsi="Arial" w:cs="Arial"/>
          <w:color w:val="000000" w:themeColor="text1"/>
          <w:kern w:val="0"/>
          <w:sz w:val="24"/>
          <w:szCs w:val="24"/>
          <w14:textFill>
            <w14:solidFill>
              <w14:schemeClr w14:val="tx1"/>
            </w14:solidFill>
          </w14:textFill>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00" w:lineRule="exact"/>
        <w:ind w:firstLine="480" w:firstLineChars="200"/>
      </w:pPr>
      <w:r>
        <w:rPr>
          <w:rFonts w:hint="eastAsia" w:ascii="Arial" w:hAnsi="Arial" w:cs="Arial"/>
          <w:color w:val="000000" w:themeColor="text1"/>
          <w:kern w:val="0"/>
          <w:sz w:val="24"/>
          <w:szCs w:val="24"/>
          <w14:textFill>
            <w14:solidFill>
              <w14:schemeClr w14:val="tx1"/>
            </w14:solidFill>
          </w14:textFill>
        </w:rPr>
        <w:t>若投标不足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家或实质性响应不足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家，采购人可以宣布项目流标或可采用竞争性磋商等方式确定供货商。</w:t>
      </w:r>
    </w:p>
    <w:p>
      <w:pPr>
        <w:tabs>
          <w:tab w:val="left" w:pos="2820"/>
        </w:tabs>
        <w:spacing w:line="4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评分标准（参考）</w:t>
      </w:r>
    </w:p>
    <w:tbl>
      <w:tblPr>
        <w:tblStyle w:val="14"/>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75" w:hRule="atLeast"/>
          <w:jc w:val="center"/>
        </w:trPr>
        <w:tc>
          <w:tcPr>
            <w:tcW w:w="1271" w:type="dxa"/>
            <w:tcBorders>
              <w:top w:val="single" w:color="000000" w:sz="4" w:space="0"/>
              <w:right w:val="single" w:color="auto" w:sz="4" w:space="0"/>
            </w:tcBorders>
            <w:vAlign w:val="center"/>
          </w:tcPr>
          <w:p>
            <w:pPr>
              <w:snapToGrid w:val="0"/>
              <w:spacing w:line="40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684" w:type="dxa"/>
            <w:tcBorders>
              <w:top w:val="single" w:color="000000" w:sz="4" w:space="0"/>
            </w:tcBorders>
            <w:vAlign w:val="center"/>
          </w:tcPr>
          <w:p>
            <w:pPr>
              <w:snapToGrid w:val="0"/>
              <w:spacing w:line="40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分数</w:t>
            </w:r>
          </w:p>
        </w:tc>
        <w:tc>
          <w:tcPr>
            <w:tcW w:w="5884" w:type="dxa"/>
            <w:tcBorders>
              <w:top w:val="single" w:color="000000" w:sz="4" w:space="0"/>
            </w:tcBorders>
            <w:vAlign w:val="center"/>
          </w:tcPr>
          <w:p>
            <w:pPr>
              <w:snapToGrid w:val="0"/>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评分标准</w:t>
            </w:r>
          </w:p>
        </w:tc>
        <w:tc>
          <w:tcPr>
            <w:tcW w:w="1041" w:type="dxa"/>
            <w:tcBorders>
              <w:top w:val="single" w:color="000000" w:sz="4" w:space="0"/>
            </w:tcBorders>
            <w:vAlign w:val="center"/>
          </w:tcPr>
          <w:p>
            <w:pPr>
              <w:snapToGrid w:val="0"/>
              <w:spacing w:line="400" w:lineRule="exac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311" w:hRule="atLeast"/>
          <w:jc w:val="center"/>
        </w:trPr>
        <w:tc>
          <w:tcPr>
            <w:tcW w:w="1271" w:type="dxa"/>
            <w:vAlign w:val="center"/>
          </w:tcPr>
          <w:p>
            <w:pPr>
              <w:spacing w:line="400" w:lineRule="exac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投标报价</w:t>
            </w:r>
          </w:p>
        </w:tc>
        <w:tc>
          <w:tcPr>
            <w:tcW w:w="684"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p>
        </w:tc>
        <w:tc>
          <w:tcPr>
            <w:tcW w:w="5884" w:type="dxa"/>
            <w:vAlign w:val="center"/>
          </w:tcPr>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以满足招标要求且投标报价最低的有效报价为评标基准价，投标报价等于基准价得</w:t>
            </w: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分，投标价格高于基准价的按下列公式计算：投标报价得分</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（评标基准价</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投标报价）</w:t>
            </w:r>
            <w:r>
              <w:rPr>
                <w:rFonts w:ascii="宋体" w:hAnsi="宋体" w:cs="宋体"/>
                <w:color w:val="000000" w:themeColor="text1"/>
                <w:kern w:val="0"/>
                <w:szCs w:val="21"/>
                <w14:textFill>
                  <w14:solidFill>
                    <w14:schemeClr w14:val="tx1"/>
                  </w14:solidFill>
                </w14:textFill>
              </w:rPr>
              <w:t xml:space="preserve">* </w:t>
            </w:r>
            <w:r>
              <w:rPr>
                <w:rFonts w:ascii="宋体" w:hAnsi="宋体" w:cs="宋体"/>
                <w:color w:val="000000"/>
                <w:kern w:val="0"/>
                <w:szCs w:val="21"/>
              </w:rPr>
              <w:t>40</w:t>
            </w:r>
            <w:r>
              <w:rPr>
                <w:rFonts w:hint="eastAsia" w:ascii="宋体" w:hAnsi="宋体" w:cs="宋体"/>
                <w:color w:val="000000" w:themeColor="text1"/>
                <w:kern w:val="0"/>
                <w:szCs w:val="21"/>
                <w14:textFill>
                  <w14:solidFill>
                    <w14:schemeClr w14:val="tx1"/>
                  </w14:solidFill>
                </w14:textFill>
              </w:rPr>
              <w:t>分数</w:t>
            </w:r>
          </w:p>
        </w:tc>
        <w:tc>
          <w:tcPr>
            <w:tcW w:w="1041" w:type="dxa"/>
          </w:tcPr>
          <w:p>
            <w:pPr>
              <w:spacing w:line="400" w:lineRule="exact"/>
              <w:rPr>
                <w:rFonts w:ascii="宋体" w:cs="宋体"/>
                <w:color w:val="000000" w:themeColor="text1"/>
                <w:kern w:val="0"/>
                <w:sz w:val="2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571" w:hRule="atLeast"/>
          <w:jc w:val="center"/>
        </w:trPr>
        <w:tc>
          <w:tcPr>
            <w:tcW w:w="1271" w:type="dxa"/>
            <w:vAlign w:val="center"/>
          </w:tcPr>
          <w:p>
            <w:pPr>
              <w:snapToGrid w:val="0"/>
              <w:spacing w:line="400" w:lineRule="exac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技术指标</w:t>
            </w:r>
          </w:p>
        </w:tc>
        <w:tc>
          <w:tcPr>
            <w:tcW w:w="684"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30</w:t>
            </w:r>
          </w:p>
        </w:tc>
        <w:tc>
          <w:tcPr>
            <w:tcW w:w="5884" w:type="dxa"/>
            <w:vAlign w:val="center"/>
          </w:tcPr>
          <w:p>
            <w:pPr>
              <w:rPr>
                <w:rFonts w:ascii="宋体" w:hAnsi="宋体" w:cs="宋体"/>
                <w:color w:val="000000"/>
                <w:kern w:val="0"/>
                <w:szCs w:val="21"/>
              </w:rPr>
            </w:pPr>
            <w:r>
              <w:rPr>
                <w:rFonts w:hint="eastAsia" w:ascii="宋体" w:hAnsi="宋体" w:cs="宋体"/>
                <w:color w:val="000000"/>
                <w:kern w:val="0"/>
                <w:szCs w:val="21"/>
              </w:rPr>
              <w:t>投标产品的所有技术参数全部满足招标要求，得30分。</w:t>
            </w:r>
          </w:p>
          <w:p>
            <w:pPr>
              <w:adjustRightInd w:val="0"/>
              <w:snapToGrid w:val="0"/>
              <w:rPr>
                <w:rFonts w:ascii="微软雅黑" w:hAnsi="微软雅黑"/>
                <w:szCs w:val="21"/>
              </w:rPr>
            </w:pPr>
            <w:r>
              <w:rPr>
                <w:rFonts w:hint="eastAsia" w:ascii="宋体" w:hAnsi="宋体" w:cs="宋体"/>
                <w:color w:val="000000"/>
                <w:kern w:val="0"/>
                <w:szCs w:val="21"/>
              </w:rPr>
              <w:t>加“★”技术指标一项负偏离扣3分，2项及以上加“★”负偏离</w:t>
            </w:r>
            <w:r>
              <w:rPr>
                <w:rFonts w:hint="eastAsia"/>
              </w:rPr>
              <w:t>按无效投标处理；</w:t>
            </w:r>
            <w:r>
              <w:rPr>
                <w:rFonts w:hint="eastAsia" w:ascii="宋体" w:hAnsi="宋体" w:cs="宋体"/>
                <w:color w:val="000000"/>
                <w:kern w:val="0"/>
                <w:szCs w:val="21"/>
              </w:rPr>
              <w:t>未加“★”技术指标一项负偏离扣1分。累计有10项及以上指标负偏离，则为无效投标。</w:t>
            </w:r>
          </w:p>
        </w:tc>
        <w:tc>
          <w:tcPr>
            <w:tcW w:w="1041" w:type="dxa"/>
          </w:tcPr>
          <w:p>
            <w:pPr>
              <w:widowControl/>
              <w:spacing w:line="400" w:lineRule="exact"/>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1271" w:type="dxa"/>
            <w:vAlign w:val="center"/>
          </w:tcPr>
          <w:p>
            <w:pPr>
              <w:snapToGrid w:val="0"/>
              <w:spacing w:line="400" w:lineRule="exac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资质实力</w:t>
            </w:r>
          </w:p>
        </w:tc>
        <w:tc>
          <w:tcPr>
            <w:tcW w:w="684"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2</w:t>
            </w:r>
          </w:p>
        </w:tc>
        <w:tc>
          <w:tcPr>
            <w:tcW w:w="5884" w:type="dxa"/>
            <w:vAlign w:val="center"/>
          </w:tcPr>
          <w:p>
            <w:pPr>
              <w:rPr>
                <w:rFonts w:ascii="宋体" w:hAnsi="宋体" w:cs="宋体"/>
                <w:color w:val="000000"/>
                <w:kern w:val="0"/>
                <w:szCs w:val="21"/>
              </w:rPr>
            </w:pPr>
            <w:r>
              <w:rPr>
                <w:rFonts w:hint="eastAsia" w:ascii="宋体" w:hAnsi="宋体" w:cs="宋体"/>
                <w:color w:val="000000"/>
                <w:kern w:val="0"/>
                <w:szCs w:val="21"/>
              </w:rPr>
              <w:t>1、投标人具备ISO9001质量管理认证1分。</w:t>
            </w:r>
          </w:p>
          <w:p>
            <w:pPr>
              <w:pStyle w:val="35"/>
              <w:spacing w:before="0" w:after="0"/>
              <w:ind w:firstLine="0" w:firstLineChars="0"/>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、语言实验室软件著作权证书1分。</w:t>
            </w:r>
          </w:p>
          <w:p>
            <w:pPr>
              <w:adjustRightInd w:val="0"/>
              <w:snapToGrid w:val="0"/>
              <w:rPr>
                <w:rFonts w:asciiTheme="minorEastAsia" w:hAnsiTheme="minorEastAsia" w:eastAsiaTheme="minorEastAsia"/>
                <w:szCs w:val="21"/>
              </w:rPr>
            </w:pPr>
            <w:r>
              <w:rPr>
                <w:rFonts w:hint="eastAsia"/>
                <w:kern w:val="0"/>
              </w:rPr>
              <w:t>上述证书复印件需盖厂家公章，原件备查。</w:t>
            </w:r>
          </w:p>
        </w:tc>
        <w:tc>
          <w:tcPr>
            <w:tcW w:w="1041" w:type="dxa"/>
          </w:tcPr>
          <w:p>
            <w:pPr>
              <w:widowControl/>
              <w:spacing w:line="400" w:lineRule="exact"/>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spacing w:line="40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演示</w:t>
            </w:r>
          </w:p>
        </w:tc>
        <w:tc>
          <w:tcPr>
            <w:tcW w:w="684"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1</w:t>
            </w:r>
            <w:r>
              <w:rPr>
                <w:rFonts w:ascii="宋体" w:hAnsi="宋体" w:cs="宋体"/>
                <w:color w:val="000000"/>
                <w:kern w:val="0"/>
                <w:szCs w:val="21"/>
              </w:rPr>
              <w:t>2</w:t>
            </w:r>
          </w:p>
        </w:tc>
        <w:tc>
          <w:tcPr>
            <w:tcW w:w="5884" w:type="dxa"/>
            <w:vAlign w:val="center"/>
          </w:tcPr>
          <w:p>
            <w:pPr>
              <w:spacing w:line="400" w:lineRule="exact"/>
            </w:pPr>
            <w:r>
              <w:rPr>
                <w:rFonts w:hint="eastAsia"/>
              </w:rPr>
              <w:t>根据产品演示效果等进行评价。</w:t>
            </w:r>
          </w:p>
          <w:p>
            <w:pPr>
              <w:pStyle w:val="35"/>
              <w:spacing w:before="0" w:after="0" w:line="400" w:lineRule="exact"/>
              <w:ind w:firstLine="0" w:firstLineChars="0"/>
            </w:pPr>
            <w:r>
              <w:rPr>
                <w:rFonts w:hint="eastAsia"/>
              </w:rPr>
              <w:t>1、口语评测功能：语音系统中具有口语评测功能，对学生课堂训练等发音进行打分，评估结果以分数直观表现。训练结束后，可看到每位学生的跟读详情，包括每一句的真实录音和评估结果，对规范学生发音提供科学指导。</w:t>
            </w:r>
            <w:r>
              <w:rPr>
                <w:rFonts w:hint="eastAsia" w:ascii="宋体" w:hAnsi="宋体" w:cs="宋体"/>
                <w:kern w:val="0"/>
                <w:szCs w:val="21"/>
              </w:rPr>
              <w:t>此项</w:t>
            </w:r>
            <w:r>
              <w:rPr>
                <w:rFonts w:hint="eastAsia"/>
              </w:rPr>
              <w:t>最高得</w:t>
            </w:r>
            <w:r>
              <w:t>4</w:t>
            </w:r>
            <w:r>
              <w:rPr>
                <w:rFonts w:hint="eastAsia"/>
              </w:rPr>
              <w:t>分。</w:t>
            </w:r>
          </w:p>
          <w:p>
            <w:pPr>
              <w:pStyle w:val="35"/>
              <w:spacing w:before="0" w:after="0" w:line="400" w:lineRule="exact"/>
              <w:ind w:firstLine="0" w:firstLineChars="0"/>
            </w:pPr>
            <w:r>
              <w:rPr>
                <w:rFonts w:hint="eastAsia"/>
              </w:rPr>
              <w:t>2、课堂测试：可进行随堂作业与课堂抢答，客观题计算机自动批改，老师可查看作答进度、测试成绩、学生卷面，并以直观饼状图显示；老师还可对表现优秀的学生进行课堂加分。</w:t>
            </w:r>
            <w:r>
              <w:rPr>
                <w:rFonts w:hint="eastAsia" w:ascii="宋体" w:hAnsi="宋体" w:cs="宋体"/>
                <w:kern w:val="0"/>
                <w:szCs w:val="21"/>
              </w:rPr>
              <w:t>此项</w:t>
            </w:r>
            <w:r>
              <w:rPr>
                <w:rFonts w:hint="eastAsia"/>
              </w:rPr>
              <w:t>最高得2分。</w:t>
            </w:r>
          </w:p>
          <w:p>
            <w:pPr>
              <w:spacing w:line="400" w:lineRule="exact"/>
            </w:pPr>
            <w:r>
              <w:rPr>
                <w:rFonts w:hint="eastAsia"/>
              </w:rPr>
              <w:t>3、错题集锦：</w:t>
            </w:r>
          </w:p>
          <w:p>
            <w:pPr>
              <w:spacing w:line="400" w:lineRule="exact"/>
            </w:pPr>
            <w:r>
              <w:rPr>
                <w:rFonts w:hint="eastAsia"/>
              </w:rPr>
              <w:t>系统可以自动搜集错题，并记录做错次数，可针对错题再次训练，并且提供错题解析。此项最高得</w:t>
            </w:r>
            <w:r>
              <w:t>2</w:t>
            </w:r>
            <w:r>
              <w:rPr>
                <w:rFonts w:hint="eastAsia"/>
              </w:rPr>
              <w:t>分。</w:t>
            </w:r>
          </w:p>
          <w:p>
            <w:pPr>
              <w:spacing w:line="400" w:lineRule="exact"/>
            </w:pPr>
            <w:r>
              <w:t>4</w:t>
            </w:r>
            <w:r>
              <w:rPr>
                <w:rFonts w:hint="eastAsia"/>
              </w:rPr>
              <w:t>、双通道录音：</w:t>
            </w:r>
          </w:p>
          <w:p>
            <w:pPr>
              <w:spacing w:line="400" w:lineRule="exact"/>
            </w:pPr>
            <w:r>
              <w:rPr>
                <w:rFonts w:hint="eastAsia"/>
              </w:rPr>
              <w:t>系统可实现数字化双通道录音，即可将两名同学的对话声或是将原语和译语分别录制在同一文件的左右不同声道上，录音回放四种可选：原语播放、译语播放、左原右译、原译混播。此项最高得</w:t>
            </w:r>
            <w:r>
              <w:t>2</w:t>
            </w:r>
            <w:r>
              <w:rPr>
                <w:rFonts w:hint="eastAsia"/>
              </w:rPr>
              <w:t>分。</w:t>
            </w:r>
          </w:p>
          <w:p>
            <w:pPr>
              <w:spacing w:line="400" w:lineRule="exact"/>
            </w:pPr>
            <w:r>
              <w:t>5</w:t>
            </w:r>
            <w:r>
              <w:rPr>
                <w:rFonts w:hint="eastAsia"/>
              </w:rPr>
              <w:t>、本地MP3压缩和解压：</w:t>
            </w:r>
          </w:p>
          <w:p>
            <w:pPr>
              <w:spacing w:line="400" w:lineRule="exact"/>
            </w:pPr>
            <w:r>
              <w:rPr>
                <w:rFonts w:hint="eastAsia"/>
              </w:rPr>
              <w:t>口语考试或训练时，教师及学生的语音资料直接压缩生成MP3格式文件存储在资源库，教师及学生终端可以对资源库中以MP3格式存储的文件直接解压收听音频要求采用16位精度44.1KHz采样频率。此项最高得</w:t>
            </w:r>
            <w:r>
              <w:t>2</w:t>
            </w:r>
            <w:r>
              <w:rPr>
                <w:rFonts w:hint="eastAsia"/>
              </w:rPr>
              <w:t>分。</w:t>
            </w:r>
          </w:p>
        </w:tc>
        <w:tc>
          <w:tcPr>
            <w:tcW w:w="1041" w:type="dxa"/>
          </w:tcPr>
          <w:p>
            <w:pPr>
              <w:widowControl/>
              <w:spacing w:line="400" w:lineRule="exact"/>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spacing w:line="400" w:lineRule="exac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投标人业绩</w:t>
            </w:r>
          </w:p>
        </w:tc>
        <w:tc>
          <w:tcPr>
            <w:tcW w:w="684"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6</w:t>
            </w:r>
          </w:p>
        </w:tc>
        <w:tc>
          <w:tcPr>
            <w:tcW w:w="5884" w:type="dxa"/>
            <w:vAlign w:val="center"/>
          </w:tcPr>
          <w:p>
            <w:pPr>
              <w:spacing w:line="400" w:lineRule="exact"/>
              <w:rPr>
                <w:rFonts w:ascii="宋体" w:hAnsi="宋体" w:cs="宋体"/>
                <w:color w:val="000000"/>
                <w:kern w:val="0"/>
                <w:szCs w:val="21"/>
                <w:lang w:val="zh-CN"/>
              </w:rPr>
            </w:pPr>
            <w:r>
              <w:rPr>
                <w:rFonts w:hint="eastAsia" w:ascii="宋体" w:hAnsi="宋体" w:cs="宋体"/>
                <w:color w:val="000000"/>
                <w:kern w:val="0"/>
                <w:szCs w:val="21"/>
                <w:lang w:val="zh-CN"/>
              </w:rPr>
              <w:t>投标人自201</w:t>
            </w:r>
            <w:r>
              <w:rPr>
                <w:rFonts w:hint="eastAsia" w:ascii="宋体" w:hAnsi="宋体" w:cs="宋体"/>
                <w:color w:val="000000"/>
                <w:kern w:val="0"/>
                <w:szCs w:val="21"/>
              </w:rPr>
              <w:t>7</w:t>
            </w:r>
            <w:r>
              <w:rPr>
                <w:rFonts w:hint="eastAsia" w:ascii="宋体" w:hAnsi="宋体" w:cs="宋体"/>
                <w:color w:val="000000"/>
                <w:kern w:val="0"/>
                <w:szCs w:val="21"/>
                <w:lang w:val="zh-CN"/>
              </w:rPr>
              <w:t>年</w:t>
            </w:r>
            <w:r>
              <w:rPr>
                <w:rFonts w:ascii="宋体" w:hAnsi="宋体" w:cs="宋体"/>
                <w:color w:val="000000"/>
                <w:kern w:val="0"/>
                <w:szCs w:val="21"/>
                <w:lang w:val="zh-CN"/>
              </w:rPr>
              <w:t>7</w:t>
            </w:r>
            <w:r>
              <w:rPr>
                <w:rFonts w:hint="eastAsia" w:ascii="宋体" w:hAnsi="宋体" w:cs="宋体"/>
                <w:color w:val="000000"/>
                <w:kern w:val="0"/>
                <w:szCs w:val="21"/>
                <w:lang w:val="zh-CN"/>
              </w:rPr>
              <w:t>月以来，签订实施过同类业绩合同金额25万元及以上的案例有一项加1分。最多得6分。</w:t>
            </w:r>
          </w:p>
          <w:p>
            <w:pPr>
              <w:spacing w:line="400" w:lineRule="exact"/>
              <w:rPr>
                <w:color w:val="000000" w:themeColor="text1"/>
                <w:kern w:val="0"/>
                <w:szCs w:val="21"/>
                <w14:textFill>
                  <w14:solidFill>
                    <w14:schemeClr w14:val="tx1"/>
                  </w14:solidFill>
                </w14:textFill>
              </w:rPr>
            </w:pPr>
            <w:r>
              <w:rPr>
                <w:rFonts w:hint="eastAsia" w:ascii="宋体" w:hAnsi="宋体" w:cs="宋体"/>
                <w:color w:val="000000"/>
                <w:kern w:val="0"/>
                <w:szCs w:val="21"/>
                <w:lang w:val="zh-CN"/>
              </w:rPr>
              <w:t>提供合同复印件，原件备查。</w:t>
            </w:r>
          </w:p>
        </w:tc>
        <w:tc>
          <w:tcPr>
            <w:tcW w:w="1041" w:type="dxa"/>
          </w:tcPr>
          <w:p>
            <w:pPr>
              <w:widowControl/>
              <w:spacing w:line="400" w:lineRule="exact"/>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spacing w:line="400" w:lineRule="exac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售后服务</w:t>
            </w:r>
          </w:p>
        </w:tc>
        <w:tc>
          <w:tcPr>
            <w:tcW w:w="684"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10</w:t>
            </w:r>
          </w:p>
        </w:tc>
        <w:tc>
          <w:tcPr>
            <w:tcW w:w="5884" w:type="dxa"/>
            <w:vAlign w:val="center"/>
          </w:tcPr>
          <w:p>
            <w:pPr>
              <w:pStyle w:val="5"/>
              <w:spacing w:line="400" w:lineRule="exact"/>
              <w:rPr>
                <w:rFonts w:ascii="宋体" w:hAnsi="宋体" w:cs="宋体"/>
                <w:kern w:val="0"/>
                <w:szCs w:val="21"/>
              </w:rPr>
            </w:pPr>
            <w:r>
              <w:rPr>
                <w:rFonts w:hint="eastAsia" w:ascii="宋体" w:hAnsi="宋体" w:cs="宋体"/>
                <w:color w:val="000000" w:themeColor="text1"/>
                <w:kern w:val="0"/>
                <w:szCs w:val="21"/>
                <w14:textFill>
                  <w14:solidFill>
                    <w14:schemeClr w14:val="tx1"/>
                  </w14:solidFill>
                </w14:textFill>
              </w:rPr>
              <w:t>1.免费质保期限、免费升级期限不低于3年（否则为无效投标），</w:t>
            </w:r>
            <w:r>
              <w:rPr>
                <w:rFonts w:hint="eastAsia" w:ascii="宋体" w:hAnsi="宋体" w:cs="宋体"/>
                <w:kern w:val="0"/>
                <w:szCs w:val="21"/>
              </w:rPr>
              <w:t>每增加1年得</w:t>
            </w:r>
            <w:r>
              <w:rPr>
                <w:rFonts w:ascii="宋体" w:hAnsi="宋体" w:cs="宋体"/>
                <w:kern w:val="0"/>
                <w:szCs w:val="21"/>
              </w:rPr>
              <w:t>1</w:t>
            </w:r>
            <w:r>
              <w:rPr>
                <w:rFonts w:hint="eastAsia" w:ascii="宋体" w:hAnsi="宋体" w:cs="宋体"/>
                <w:kern w:val="0"/>
                <w:szCs w:val="21"/>
              </w:rPr>
              <w:t>分，最多加4分。</w:t>
            </w:r>
          </w:p>
          <w:p>
            <w:pPr>
              <w:pStyle w:val="5"/>
              <w:spacing w:line="400" w:lineRule="exact"/>
              <w:rPr>
                <w:rFonts w:ascii="宋体" w:hAnsi="宋体" w:cs="宋体"/>
                <w:color w:val="FF0000"/>
                <w:kern w:val="0"/>
                <w:szCs w:val="21"/>
              </w:rPr>
            </w:pPr>
            <w:r>
              <w:rPr>
                <w:rFonts w:hint="eastAsia" w:ascii="宋体" w:hAnsi="宋体" w:cs="宋体"/>
                <w:kern w:val="0"/>
                <w:szCs w:val="21"/>
              </w:rPr>
              <w:t>2.本地化服务。营业执照注册地址为淮安市或在淮安市有分公司或有服务机构的得2分，或在江苏省内的得1分，其他不得分(提供营业执照复印件或相关证明材料加盖供应商公章)</w:t>
            </w:r>
            <w:r>
              <w:rPr>
                <w:rFonts w:hint="eastAsia" w:ascii="宋体" w:hAnsi="宋体" w:cs="宋体"/>
                <w:color w:val="FF0000"/>
                <w:kern w:val="0"/>
                <w:szCs w:val="21"/>
              </w:rPr>
              <w:t>。</w:t>
            </w:r>
          </w:p>
          <w:p>
            <w:pPr>
              <w:spacing w:line="400" w:lineRule="exact"/>
              <w:rPr>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3.根据免费质保期内服务承诺和免费质保期满后的服务承诺、服务收费情况打分，优秀得4分左右，良好得3分左右，一般得2分左右，差得1分以下，本项最高得4分。</w:t>
            </w:r>
          </w:p>
        </w:tc>
        <w:tc>
          <w:tcPr>
            <w:tcW w:w="1041" w:type="dxa"/>
          </w:tcPr>
          <w:p>
            <w:pPr>
              <w:widowControl/>
              <w:spacing w:line="400" w:lineRule="exact"/>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spacing w:line="400" w:lineRule="exact"/>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总分</w:t>
            </w:r>
          </w:p>
        </w:tc>
        <w:tc>
          <w:tcPr>
            <w:tcW w:w="684"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100</w:t>
            </w:r>
          </w:p>
        </w:tc>
        <w:tc>
          <w:tcPr>
            <w:tcW w:w="5884" w:type="dxa"/>
            <w:vAlign w:val="center"/>
          </w:tcPr>
          <w:p>
            <w:pPr>
              <w:spacing w:line="400" w:lineRule="exact"/>
              <w:rPr>
                <w:color w:val="000000" w:themeColor="text1"/>
                <w:kern w:val="0"/>
                <w:szCs w:val="21"/>
                <w14:textFill>
                  <w14:solidFill>
                    <w14:schemeClr w14:val="tx1"/>
                  </w14:solidFill>
                </w14:textFill>
              </w:rPr>
            </w:pPr>
          </w:p>
        </w:tc>
        <w:tc>
          <w:tcPr>
            <w:tcW w:w="1041" w:type="dxa"/>
          </w:tcPr>
          <w:p>
            <w:pPr>
              <w:widowControl/>
              <w:spacing w:line="400" w:lineRule="exact"/>
              <w:rPr>
                <w:rFonts w:ascii="宋体" w:cs="宋体"/>
                <w:color w:val="000000" w:themeColor="text1"/>
                <w:kern w:val="0"/>
                <w:szCs w:val="21"/>
                <w14:textFill>
                  <w14:solidFill>
                    <w14:schemeClr w14:val="tx1"/>
                  </w14:solidFill>
                </w14:textFill>
              </w:rPr>
            </w:pPr>
          </w:p>
        </w:tc>
      </w:tr>
    </w:tbl>
    <w:p>
      <w:pPr>
        <w:spacing w:line="400" w:lineRule="exact"/>
        <w:ind w:firstLine="480" w:firstLineChars="200"/>
        <w:rPr>
          <w:rFonts w:ascii="宋体" w:hAnsi="宋体" w:cs="宋体"/>
          <w:sz w:val="24"/>
        </w:rPr>
      </w:pPr>
    </w:p>
    <w:p>
      <w:pPr>
        <w:spacing w:line="400" w:lineRule="exact"/>
        <w:ind w:firstLine="480" w:firstLineChars="200"/>
        <w:rPr>
          <w:sz w:val="24"/>
        </w:rPr>
      </w:pPr>
      <w:r>
        <w:rPr>
          <w:sz w:val="24"/>
        </w:rPr>
        <w:t>说明：若供应商的投标报价低于本项目最高限价的50%或低于其他通过资格审查的平均投标报价的60%，由评委启动报价有效性得质疑程序。</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w:t>
      </w:r>
      <w:r>
        <w:rPr>
          <w:color w:val="000000" w:themeColor="text1"/>
          <w:sz w:val="24"/>
          <w14:textFill>
            <w14:solidFill>
              <w14:schemeClr w14:val="tx1"/>
            </w14:solidFill>
          </w14:textFill>
        </w:rPr>
        <w:t>、评标程序</w:t>
      </w:r>
    </w:p>
    <w:p>
      <w:pPr>
        <w:spacing w:line="400" w:lineRule="exact"/>
        <w:ind w:firstLine="480" w:firstLineChars="200"/>
        <w:rPr>
          <w:color w:val="000000" w:themeColor="text1"/>
          <w:sz w:val="24"/>
          <w14:textFill>
            <w14:solidFill>
              <w14:schemeClr w14:val="tx1"/>
            </w14:solidFill>
          </w14:textFill>
        </w:rPr>
      </w:pPr>
      <w:r>
        <w:rPr>
          <w:color w:val="000000" w:themeColor="text1"/>
          <w:sz w:val="24"/>
          <w:lang w:val="zh-CN"/>
          <w14:textFill>
            <w14:solidFill>
              <w14:schemeClr w14:val="tx1"/>
            </w14:solidFill>
          </w14:textFill>
        </w:rPr>
        <w:t>评标工作由淮阴工学院招投标办公室负责组织，具体评标事务由依法组建的评标委员会（以下简称</w:t>
      </w:r>
      <w:r>
        <w:rPr>
          <w:color w:val="000000" w:themeColor="text1"/>
          <w:kern w:val="0"/>
          <w:sz w:val="24"/>
          <w:lang w:val="zh-CN"/>
          <w14:textFill>
            <w14:solidFill>
              <w14:schemeClr w14:val="tx1"/>
            </w14:solidFill>
          </w14:textFill>
        </w:rPr>
        <w:t>评委会</w:t>
      </w:r>
      <w:r>
        <w:rPr>
          <w:color w:val="000000" w:themeColor="text1"/>
          <w:sz w:val="24"/>
          <w:lang w:val="zh-CN"/>
          <w14:textFill>
            <w14:solidFill>
              <w14:schemeClr w14:val="tx1"/>
            </w14:solidFill>
          </w14:textFill>
        </w:rPr>
        <w:t>）负责。</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1.投标文件的资格审查</w:t>
      </w:r>
    </w:p>
    <w:p>
      <w:pPr>
        <w:spacing w:line="400" w:lineRule="exact"/>
        <w:ind w:firstLine="480" w:firstLineChars="200"/>
        <w:rPr>
          <w:color w:val="000000" w:themeColor="text1"/>
          <w:sz w:val="24"/>
          <w14:textFill>
            <w14:solidFill>
              <w14:schemeClr w14:val="tx1"/>
            </w14:solidFill>
          </w14:textFill>
        </w:rPr>
      </w:pPr>
      <w:r>
        <w:rPr>
          <w:color w:val="000000" w:themeColor="text1"/>
          <w:sz w:val="24"/>
          <w:lang w:val="zh-CN"/>
          <w14:textFill>
            <w14:solidFill>
              <w14:schemeClr w14:val="tx1"/>
            </w14:solidFill>
          </w14:textFill>
        </w:rPr>
        <w:t>依据法律法规和招标文件的规定，采购人组织对投标文件中的资格证明文件等进行审查，以确定投标供人是否具备投标资格。不符合招标文件规定的资格要求的投标文件，将作为无效投标处理。</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2.投标文件的符合性审查</w:t>
      </w:r>
    </w:p>
    <w:p>
      <w:pPr>
        <w:spacing w:line="400" w:lineRule="exact"/>
        <w:ind w:firstLine="480" w:firstLineChars="200"/>
        <w:rPr>
          <w:color w:val="000000" w:themeColor="text1"/>
          <w:kern w:val="0"/>
          <w:sz w:val="24"/>
          <w:lang w:val="zh-CN"/>
          <w14:textFill>
            <w14:solidFill>
              <w14:schemeClr w14:val="tx1"/>
            </w14:solidFill>
          </w14:textFill>
        </w:rPr>
      </w:pPr>
      <w:r>
        <w:rPr>
          <w:color w:val="000000" w:themeColor="text1"/>
          <w:kern w:val="0"/>
          <w:sz w:val="24"/>
          <w:lang w:val="zh-CN"/>
          <w14:textFill>
            <w14:solidFill>
              <w14:schemeClr w14:val="tx1"/>
            </w14:solidFill>
          </w14:textFill>
        </w:rPr>
        <w:t>2.1评委会将依据法律法规和招标文件的规定，对投标文件的有效性、完整性和对招标文件的响应程度进行审查，以确定是否对招标文件的实质性要求做出响应。实质性要求是指本招标文件中用带星号（“</w:t>
      </w:r>
      <w:r>
        <w:rPr>
          <w:rFonts w:ascii="Segoe UI Symbol" w:hAnsi="Segoe UI Symbol" w:cs="Segoe UI Symbol"/>
          <w:color w:val="000000" w:themeColor="text1"/>
          <w:kern w:val="0"/>
          <w:sz w:val="24"/>
          <w:lang w:val="zh-CN"/>
          <w14:textFill>
            <w14:solidFill>
              <w14:schemeClr w14:val="tx1"/>
            </w14:solidFill>
          </w14:textFill>
        </w:rPr>
        <w:t>★</w:t>
      </w:r>
      <w:r>
        <w:rPr>
          <w:color w:val="000000" w:themeColor="text1"/>
          <w:kern w:val="0"/>
          <w:sz w:val="24"/>
          <w:lang w:val="zh-CN"/>
          <w14:textFill>
            <w14:solidFill>
              <w14:schemeClr w14:val="tx1"/>
            </w14:solidFill>
          </w14:textFill>
        </w:rPr>
        <w:t>”）的商务和技术要求。如果投标文件实质上没有响应招标文件的要求，评委会可作无效投标处理。</w:t>
      </w:r>
    </w:p>
    <w:p>
      <w:pPr>
        <w:spacing w:line="400" w:lineRule="exact"/>
        <w:ind w:firstLine="480" w:firstLineChars="200"/>
        <w:rPr>
          <w:color w:val="000000" w:themeColor="text1"/>
          <w:kern w:val="0"/>
          <w:sz w:val="24"/>
          <w:lang w:val="zh-CN"/>
          <w14:textFill>
            <w14:solidFill>
              <w14:schemeClr w14:val="tx1"/>
            </w14:solidFill>
          </w14:textFill>
        </w:rPr>
      </w:pPr>
      <w:r>
        <w:rPr>
          <w:color w:val="000000" w:themeColor="text1"/>
          <w:kern w:val="0"/>
          <w:sz w:val="24"/>
          <w:lang w:val="zh-CN"/>
          <w14:textFill>
            <w14:solidFill>
              <w14:schemeClr w14:val="tx1"/>
            </w14:solidFill>
          </w14:textFill>
        </w:rPr>
        <w:t>2.2投标人及其投标文件有下列情况之一的，在符合性审查时按照无效投标处理</w:t>
      </w:r>
      <w:r>
        <w:rPr>
          <w:color w:val="000000" w:themeColor="text1"/>
          <w:sz w:val="24"/>
          <w:lang w:val="zh-CN"/>
          <w14:textFill>
            <w14:solidFill>
              <w14:schemeClr w14:val="tx1"/>
            </w14:solidFill>
          </w14:textFill>
        </w:rPr>
        <w:t>:</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（1）未按照招标文件规定要求签署、盖章的；</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（2）投标总价超出招标文件规定的预算金额或者最高限价的；</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（3）不同投标人的投标文件由同一单位或者个人编制；</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（4）不同投标人委托同一单位或者个人办理投标事宜；</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（5）不同投标人的投标文件载明的项目管理成员或者联系人员为同一人；</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（6）不同投标人的投标文件异常一致或者投标报价呈规律性差异；</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（7）不同投标人的投标文件相互混装；</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（8）投标文件含有采购人不能接受的附加条件的，或</w:t>
      </w:r>
      <w:r>
        <w:rPr>
          <w:color w:val="000000" w:themeColor="text1"/>
          <w:sz w:val="24"/>
          <w14:textFill>
            <w14:solidFill>
              <w14:schemeClr w14:val="tx1"/>
            </w14:solidFill>
          </w14:textFill>
        </w:rPr>
        <w:t>有损害采购人利益的规定的</w:t>
      </w:r>
      <w:r>
        <w:rPr>
          <w:color w:val="000000" w:themeColor="text1"/>
          <w:kern w:val="0"/>
          <w:sz w:val="24"/>
          <w14:textFill>
            <w14:solidFill>
              <w14:schemeClr w14:val="tx1"/>
            </w14:solidFill>
          </w14:textFill>
        </w:rPr>
        <w:t>；</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（9）评委会认为投标人的报价明显低于其他通过符合性审查投标人的报价，有可能影响产品质量或者不能诚信履约的，未在评标现场合理的时间内提供书面说明或相关证明材料，不能证明其报价合理的；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（10）在一份投标文件中对同一招标项目报有两个及以上报价，且未声明哪一个有效的，但按招标文件规定提交备选投标方案的除外；</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（11）重要内容或关键字迹模糊不清无法辨认的；</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（12）投标有效期不足的；</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（13）以他人的名义投标、串通投标、以行贿手段谋取中标或者以其他弄虚作假方式投标的，故意哄抬价格或压价等其它恶意串通投标的；</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（14）不符合招标文件中规定的其他实质性要求和条件的；</w:t>
      </w:r>
    </w:p>
    <w:p>
      <w:pPr>
        <w:widowControl/>
        <w:spacing w:line="400" w:lineRule="exact"/>
        <w:ind w:firstLine="561"/>
        <w:jc w:val="left"/>
        <w:rPr>
          <w:color w:val="000000" w:themeColor="text1"/>
          <w:kern w:val="0"/>
          <w:sz w:val="24"/>
          <w:szCs w:val="24"/>
          <w14:textFill>
            <w14:solidFill>
              <w14:schemeClr w14:val="tx1"/>
            </w14:solidFill>
          </w14:textFill>
        </w:rPr>
      </w:pPr>
      <w:r>
        <w:rPr>
          <w:color w:val="000000" w:themeColor="text1"/>
          <w:kern w:val="0"/>
          <w:sz w:val="24"/>
          <w14:textFill>
            <w14:solidFill>
              <w14:schemeClr w14:val="tx1"/>
            </w14:solidFill>
          </w14:textFill>
        </w:rPr>
        <w:t>（15）</w:t>
      </w:r>
      <w:r>
        <w:rPr>
          <w:color w:val="000000" w:themeColor="text1"/>
          <w:kern w:val="0"/>
          <w:sz w:val="24"/>
          <w:szCs w:val="24"/>
          <w14:textFill>
            <w14:solidFill>
              <w14:schemeClr w14:val="tx1"/>
            </w14:solidFill>
          </w14:textFill>
        </w:rPr>
        <w:t>不符合法律、法规规定的其他无效情形，以及招标文件规定的其他无效情形；</w:t>
      </w:r>
    </w:p>
    <w:p>
      <w:pPr>
        <w:widowControl/>
        <w:spacing w:line="400" w:lineRule="exact"/>
        <w:ind w:firstLine="561"/>
        <w:jc w:val="left"/>
        <w:rPr>
          <w:rFonts w:ascii="宋体" w:hAnsi="宋体" w:cs="宋体"/>
          <w:color w:val="000000"/>
          <w:kern w:val="0"/>
          <w:sz w:val="24"/>
        </w:rPr>
      </w:pPr>
      <w:r>
        <w:rPr>
          <w:color w:val="000000" w:themeColor="text1"/>
          <w:kern w:val="0"/>
          <w:sz w:val="24"/>
          <w14:textFill>
            <w14:solidFill>
              <w14:schemeClr w14:val="tx1"/>
            </w14:solidFill>
          </w14:textFill>
        </w:rPr>
        <w:t>（16）</w:t>
      </w:r>
      <w:r>
        <w:rPr>
          <w:rFonts w:hint="eastAsia" w:ascii="宋体" w:hAnsi="宋体" w:cs="宋体"/>
          <w:color w:val="000000"/>
          <w:kern w:val="0"/>
          <w:sz w:val="24"/>
        </w:rPr>
        <w:t>有两项及以上加“★”的技术指标为负偏离的；</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（17）技术指标得分低于14分的</w:t>
      </w:r>
      <w:r>
        <w:rPr>
          <w:rFonts w:hint="eastAsia"/>
          <w:color w:val="000000" w:themeColor="text1"/>
          <w:kern w:val="0"/>
          <w:sz w:val="24"/>
          <w14:textFill>
            <w14:solidFill>
              <w14:schemeClr w14:val="tx1"/>
            </w14:solidFill>
          </w14:textFill>
        </w:rPr>
        <w:t>，或</w:t>
      </w:r>
      <w:r>
        <w:rPr>
          <w:rFonts w:hint="eastAsia" w:ascii="宋体" w:hAnsi="宋体" w:cs="宋体"/>
          <w:color w:val="000000"/>
          <w:kern w:val="0"/>
          <w:sz w:val="24"/>
        </w:rPr>
        <w:t>累计有10项及以上指标负偏离</w:t>
      </w:r>
      <w:r>
        <w:rPr>
          <w:color w:val="000000" w:themeColor="text1"/>
          <w:kern w:val="0"/>
          <w:sz w:val="24"/>
          <w14:textFill>
            <w14:solidFill>
              <w14:schemeClr w14:val="tx1"/>
            </w14:solidFill>
          </w14:textFill>
        </w:rPr>
        <w:t>；</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（18）经2/3及以上评委认定投标品牌档次低于推荐品牌档次的；</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（19）未参加现场勘察的。</w:t>
      </w:r>
    </w:p>
    <w:p>
      <w:pPr>
        <w:widowControl/>
        <w:spacing w:line="400" w:lineRule="exact"/>
        <w:ind w:firstLine="561"/>
        <w:jc w:val="left"/>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2.3有下列情形之一的可予以废标:</w:t>
      </w:r>
    </w:p>
    <w:p>
      <w:pPr>
        <w:widowControl/>
        <w:spacing w:line="40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（1）符合专业条件的供应商或者对招标文件作实质响应的供应商不足三家的；</w:t>
      </w:r>
    </w:p>
    <w:p>
      <w:pPr>
        <w:widowControl/>
        <w:spacing w:line="40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（2）出现影响采购公正的违法、违规行为的；</w:t>
      </w:r>
    </w:p>
    <w:p>
      <w:pPr>
        <w:widowControl/>
        <w:spacing w:line="40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（3）投标人的报价均超过了采购预算或最高限价，学校不能支付的；</w:t>
      </w:r>
    </w:p>
    <w:p>
      <w:pPr>
        <w:widowControl/>
        <w:spacing w:line="40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（4）因重要变故，采购任务取消的；</w:t>
      </w:r>
    </w:p>
    <w:p>
      <w:pPr>
        <w:widowControl/>
        <w:spacing w:line="40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（5）其他法律、法规、学校规章制度规定可以为废标的。</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3.投标文件的投标报价审查</w:t>
      </w:r>
    </w:p>
    <w:p>
      <w:pPr>
        <w:spacing w:line="40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评委会将对确定为实质性响应的投标进行进一步审核，看其是否有计算上或累加上的算术错误，修正错误的原则: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4.投标文件的澄清</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投标文件中含义不明确、同类问题表述不一致或者明显文字错误的内容，评委会可以要求投标人做出必要的澄清、说明或者补正。投标人的澄清、说明、补正应当采用书面形式，由其授权代表签字，但不得超出投标文件的范围或者改变投标文件的实质性内容。</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5.评审及中标</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5.1评委会将对通过资格性审查和符合性审查的投标文件进行评价和比较。评委会按招标文件中公布的评标标准对每份合格投标文件进行评审，确定中标供应商，任何单项因素的最优不能作为中标的保证。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5.2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00" w:lineRule="exact"/>
        <w:ind w:firstLine="480" w:firstLineChars="200"/>
        <w:rPr>
          <w:rFonts w:ascii="宋体"/>
          <w:color w:val="000000" w:themeColor="text1"/>
          <w:sz w:val="24"/>
          <w14:textFill>
            <w14:solidFill>
              <w14:schemeClr w14:val="tx1"/>
            </w14:solidFill>
          </w14:textFill>
        </w:rPr>
      </w:pPr>
      <w:r>
        <w:rPr>
          <w:color w:val="000000" w:themeColor="text1"/>
          <w:sz w:val="24"/>
          <w14:textFill>
            <w14:solidFill>
              <w14:schemeClr w14:val="tx1"/>
            </w14:solidFill>
          </w14:textFill>
        </w:rPr>
        <w:t>5.3评委会根据招标文件中规定的评标标准对投标人进行综合评审，最终按</w:t>
      </w:r>
      <w:r>
        <w:rPr>
          <w:rFonts w:hint="eastAsia" w:ascii="宋体" w:hAnsi="宋体"/>
          <w:color w:val="000000" w:themeColor="text1"/>
          <w:sz w:val="24"/>
          <w14:textFill>
            <w14:solidFill>
              <w14:schemeClr w14:val="tx1"/>
            </w14:solidFill>
          </w14:textFill>
        </w:rPr>
        <w:t>综合评审得分由高到低的顺序推荐出中标候选人。采购人根据评委会推荐的中标候选人确认中标人。</w:t>
      </w:r>
    </w:p>
    <w:p>
      <w:pPr>
        <w:widowControl/>
        <w:spacing w:line="400" w:lineRule="exact"/>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十一、定标与签约</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招标项目评审结果确定后，采购人将在学校网站（招标公告发布的网站）第一时间公示评审结果，公示时间为</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个工作日，</w:t>
      </w:r>
      <w:r>
        <w:rPr>
          <w:rFonts w:hint="eastAsia" w:ascii="Times New Roman" w:hAnsi="Times New Roman"/>
          <w:color w:val="000000" w:themeColor="text1"/>
          <w:shd w:val="clear" w:color="auto" w:fill="FFFFFF"/>
          <w14:textFill>
            <w14:solidFill>
              <w14:schemeClr w14:val="tx1"/>
            </w14:solidFill>
          </w14:textFill>
        </w:rPr>
        <w:t>请注意及时查询</w:t>
      </w:r>
      <w:r>
        <w:rPr>
          <w:rFonts w:hint="eastAsia" w:ascii="Times New Roman" w:hAnsi="Times New Roman"/>
          <w:color w:val="000000" w:themeColor="text1"/>
          <w14:textFill>
            <w14:solidFill>
              <w14:schemeClr w14:val="tx1"/>
            </w14:solidFill>
          </w14:textFill>
        </w:rPr>
        <w:t>，对其它未中标人将不单独通知，未中标的原因不进行解释。</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中标候选人出现下列情况之一的，一经查实，将被取消中标资格：</w:t>
      </w:r>
    </w:p>
    <w:p>
      <w:pPr>
        <w:pStyle w:val="12"/>
        <w:shd w:val="clear" w:color="auto" w:fill="FFFFFF"/>
        <w:spacing w:before="0" w:beforeAutospacing="0" w:after="0" w:afterAutospacing="0" w:line="400" w:lineRule="exact"/>
        <w:ind w:firstLine="240" w:firstLineChars="100"/>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）提供虚假材料谋取中标的；</w:t>
      </w:r>
    </w:p>
    <w:p>
      <w:pPr>
        <w:pStyle w:val="12"/>
        <w:shd w:val="clear" w:color="auto" w:fill="FFFFFF"/>
        <w:spacing w:before="0" w:beforeAutospacing="0" w:after="0" w:afterAutospacing="0" w:line="400" w:lineRule="exact"/>
        <w:ind w:firstLine="240" w:firstLineChars="100"/>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）与评审专家、采购人、其他供应商或者招投标办公室工作人员恶意串通的；</w:t>
      </w:r>
    </w:p>
    <w:p>
      <w:pPr>
        <w:pStyle w:val="12"/>
        <w:shd w:val="clear" w:color="auto" w:fill="FFFFFF"/>
        <w:spacing w:before="0" w:beforeAutospacing="0" w:after="0" w:afterAutospacing="0" w:line="400" w:lineRule="exact"/>
        <w:ind w:firstLine="240" w:firstLineChars="100"/>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）向评审专家、采购人或招投标办公室工作人员行贿或者提供其它不正当利益；</w:t>
      </w:r>
    </w:p>
    <w:p>
      <w:pPr>
        <w:pStyle w:val="12"/>
        <w:shd w:val="clear" w:color="auto" w:fill="FFFFFF"/>
        <w:spacing w:before="0" w:beforeAutospacing="0" w:after="0" w:afterAutospacing="0" w:line="400" w:lineRule="exact"/>
        <w:ind w:firstLine="240" w:firstLineChars="100"/>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）恶意竞争，投标总报价明显低于其自身合理成本且又无法提供证明的；</w:t>
      </w:r>
    </w:p>
    <w:p>
      <w:pPr>
        <w:pStyle w:val="12"/>
        <w:shd w:val="clear" w:color="auto" w:fill="FFFFFF"/>
        <w:spacing w:before="0" w:beforeAutospacing="0" w:after="0" w:afterAutospacing="0" w:line="400" w:lineRule="exact"/>
        <w:ind w:firstLine="240" w:firstLineChars="100"/>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14:textFill>
            <w14:solidFill>
              <w14:schemeClr w14:val="tx1"/>
            </w14:solidFill>
          </w14:textFill>
        </w:rPr>
        <w:t>）不满足本招标文件规定的实质性要求，但在评标过程中又未被评委发现的；</w:t>
      </w:r>
    </w:p>
    <w:p>
      <w:pPr>
        <w:pStyle w:val="12"/>
        <w:shd w:val="clear" w:color="auto" w:fill="FFFFFF"/>
        <w:spacing w:before="0" w:beforeAutospacing="0" w:after="0" w:afterAutospacing="0" w:line="400" w:lineRule="exact"/>
        <w:ind w:firstLine="240" w:firstLineChars="100"/>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）不符合法律、法规的规定的其它情形。</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在此情况下一经认定，采购人有权</w:t>
      </w:r>
      <w:r>
        <w:rPr>
          <w:rFonts w:hint="eastAsia"/>
          <w:color w:val="000000" w:themeColor="text1"/>
          <w:spacing w:val="2"/>
          <w14:textFill>
            <w14:solidFill>
              <w14:schemeClr w14:val="tx1"/>
            </w14:solidFill>
          </w14:textFill>
        </w:rPr>
        <w:t>取消</w:t>
      </w:r>
      <w:r>
        <w:rPr>
          <w:color w:val="000000" w:themeColor="text1"/>
          <w:spacing w:val="2"/>
          <w14:textFill>
            <w14:solidFill>
              <w14:schemeClr w14:val="tx1"/>
            </w14:solidFill>
          </w14:textFill>
        </w:rPr>
        <w:t>中标资格</w:t>
      </w:r>
      <w:r>
        <w:rPr>
          <w:rFonts w:hint="eastAsia"/>
          <w:color w:val="000000" w:themeColor="text1"/>
          <w:spacing w:val="2"/>
          <w14:textFill>
            <w14:solidFill>
              <w14:schemeClr w14:val="tx1"/>
            </w14:solidFill>
          </w14:textFill>
        </w:rPr>
        <w:t>、列入学校采购不诚信企业名单、两年内不得参与学校所有采购项目等处罚。</w:t>
      </w:r>
      <w:r>
        <w:rPr>
          <w:rFonts w:hint="eastAsia" w:ascii="Times New Roman" w:hAnsi="Times New Roman"/>
          <w:color w:val="000000" w:themeColor="text1"/>
          <w14:textFill>
            <w14:solidFill>
              <w14:schemeClr w14:val="tx1"/>
            </w14:solidFill>
          </w14:textFill>
        </w:rPr>
        <w:t>采购人有权重新组织采购或递补中标候选人。</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质疑处理</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3.1</w:t>
      </w:r>
      <w:r>
        <w:rPr>
          <w:rFonts w:hint="eastAsia" w:ascii="Times New Roman" w:hAnsi="Times New Roman"/>
          <w:color w:val="000000" w:themeColor="text1"/>
          <w14:textFill>
            <w14:solidFill>
              <w14:schemeClr w14:val="tx1"/>
            </w14:solidFill>
          </w14:textFill>
        </w:rPr>
        <w:t>参加投标供应商认为采购过程和采购结果使自己的权益受到损害的，可以从采购结果公示之日起</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个工作日内，以书面形式一次性向采购人（招投标办公室）提出质疑。非书面形式、</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w:t>
      </w:r>
      <w:r>
        <w:rPr>
          <w:rFonts w:hint="eastAsia" w:ascii="Times New Roman" w:hAnsi="Times New Roman"/>
          <w:color w:val="000000" w:themeColor="text1"/>
          <w14:textFill>
            <w14:solidFill>
              <w14:schemeClr w14:val="tx1"/>
            </w14:solidFill>
          </w14:textFill>
        </w:rPr>
        <w:t>质疑必须以参加投标的供应商法人代表或授权代表（投标文件中所确定的）书面送达的方式提交，未按上述要求提交的质疑函，采购人有权不予受理。</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3.3</w:t>
      </w:r>
      <w:r>
        <w:rPr>
          <w:rFonts w:hint="eastAsia" w:ascii="Times New Roman" w:hAnsi="Times New Roman"/>
          <w:color w:val="000000" w:themeColor="text1"/>
          <w14:textFill>
            <w14:solidFill>
              <w14:schemeClr w14:val="tx1"/>
            </w14:solidFill>
          </w14:textFill>
        </w:rPr>
        <w:t>未参加投标的供应商或在投标活动中本身权益未受到损害或从投标活动中受益的供应商所提出的质疑也不予受理。</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r>
        <w:rPr>
          <w:rFonts w:hint="eastAsia" w:ascii="Times New Roman" w:hAnsi="Times New Roman"/>
          <w:color w:val="000000" w:themeColor="text1"/>
          <w14:textFill>
            <w14:solidFill>
              <w14:schemeClr w14:val="tx1"/>
            </w14:solidFill>
          </w14:textFill>
        </w:rPr>
        <w:t>投标人提出书面质疑必须有理、有据，不得恶意质疑或提交虚假质疑。否则，采购人将不予受理。</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w:t>
      </w:r>
      <w:r>
        <w:rPr>
          <w:rFonts w:hint="eastAsia" w:ascii="Times New Roman" w:hAnsi="Times New Roman"/>
          <w:color w:val="000000" w:themeColor="text1"/>
          <w14:textFill>
            <w14:solidFill>
              <w14:schemeClr w14:val="tx1"/>
            </w14:solidFill>
          </w14:textFill>
        </w:rPr>
        <w:t>采购人将在收到投标供应商的书面质疑后将在规定时间内作出答复，但答</w:t>
      </w:r>
      <w:r>
        <w:rPr>
          <w:rFonts w:ascii="Times New Roman" w:hAnsi="Times New Roman"/>
          <w:color w:val="000000" w:themeColor="text1"/>
          <w14:textFill>
            <w14:solidFill>
              <w14:schemeClr w14:val="tx1"/>
            </w14:solidFill>
          </w14:textFill>
        </w:rPr>
        <w:t>复的内容不涉及商业秘密。</w:t>
      </w:r>
    </w:p>
    <w:p>
      <w:pPr>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w:t>
      </w:r>
      <w:r>
        <w:rPr>
          <w:color w:val="000000" w:themeColor="text1"/>
          <w:spacing w:val="2"/>
          <w:kern w:val="0"/>
          <w:sz w:val="24"/>
          <w:szCs w:val="24"/>
          <w14:textFill>
            <w14:solidFill>
              <w14:schemeClr w14:val="tx1"/>
            </w14:solidFill>
          </w14:textFill>
        </w:rPr>
        <w:t>取消中标资格并列入学校采购不诚信企业名单，两年内不得参与学校所有采购项目。</w:t>
      </w:r>
      <w:r>
        <w:rPr>
          <w:color w:val="000000" w:themeColor="text1"/>
          <w:sz w:val="24"/>
          <w:szCs w:val="24"/>
          <w14:textFill>
            <w14:solidFill>
              <w14:schemeClr w14:val="tx1"/>
            </w14:solidFill>
          </w14:textFill>
        </w:rPr>
        <w:t>采购人有权将中标资格授予排名第二的投标人或重新组织招标。</w:t>
      </w:r>
    </w:p>
    <w:p>
      <w:pPr>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5.履约保证金</w:t>
      </w:r>
    </w:p>
    <w:p>
      <w:pPr>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5.1为保证合同的顺利执行，中标人须在签订合同前向淮阴工学院交纳合同总额5%的履约保证金（银行开户名：淮阴工学院；开户行：淮安市建行中北分理处；银行帐号：32001724236051451171）。中标人未能履行合同规定的义务，采购人有权从履约保证金中取得补偿。</w:t>
      </w:r>
    </w:p>
    <w:p>
      <w:pPr>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5.2履约保证金在项目验收合格后无息退还。中标人凭采购人签署的同意退还履约保证金的证明（格式详见招标文件第四章《履约保证金退还申请》），到淮阴工学院计划财务处办理保证金退还手续。</w:t>
      </w:r>
    </w:p>
    <w:p>
      <w:pPr>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本招标文件和中标人的投标文件包括中标人所做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00" w:lineRule="exact"/>
        <w:ind w:firstLine="480" w:firstLineChars="200"/>
        <w:rPr>
          <w:color w:val="000000" w:themeColor="text1"/>
          <w:kern w:val="0"/>
          <w:sz w:val="24"/>
          <w:szCs w:val="24"/>
          <w14:textFill>
            <w14:solidFill>
              <w14:schemeClr w14:val="tx1"/>
            </w14:solidFill>
          </w14:textFill>
        </w:rPr>
      </w:pPr>
      <w:r>
        <w:rPr>
          <w:bCs/>
          <w:color w:val="000000" w:themeColor="text1"/>
          <w:sz w:val="24"/>
          <w:szCs w:val="24"/>
          <w14:textFill>
            <w14:solidFill>
              <w14:schemeClr w14:val="tx1"/>
            </w14:solidFill>
          </w14:textFill>
        </w:rPr>
        <w:t>7.</w:t>
      </w:r>
      <w:r>
        <w:rPr>
          <w:color w:val="000000" w:themeColor="text1"/>
          <w:sz w:val="24"/>
          <w:szCs w:val="24"/>
          <w14:textFill>
            <w14:solidFill>
              <w14:schemeClr w14:val="tx1"/>
            </w14:solidFill>
          </w14:textFill>
        </w:rPr>
        <w:t>投标人中标后，采购人发现其</w:t>
      </w:r>
      <w:r>
        <w:rPr>
          <w:bCs/>
          <w:color w:val="000000" w:themeColor="text1"/>
          <w:sz w:val="24"/>
          <w:szCs w:val="24"/>
          <w14:textFill>
            <w14:solidFill>
              <w14:schemeClr w14:val="tx1"/>
            </w14:solidFill>
          </w14:textFill>
        </w:rPr>
        <w:t>投标文件中有与招标文件相抵触之处、或投标文件中附有超出有关规定的条款，则仍以</w:t>
      </w:r>
      <w:r>
        <w:rPr>
          <w:color w:val="000000" w:themeColor="text1"/>
          <w:sz w:val="24"/>
          <w:szCs w:val="24"/>
          <w14:textFill>
            <w14:solidFill>
              <w14:schemeClr w14:val="tx1"/>
            </w14:solidFill>
          </w14:textFill>
        </w:rPr>
        <w:t>招标</w:t>
      </w:r>
      <w:r>
        <w:rPr>
          <w:bCs/>
          <w:color w:val="000000" w:themeColor="text1"/>
          <w:sz w:val="24"/>
          <w:szCs w:val="24"/>
          <w14:textFill>
            <w14:solidFill>
              <w14:schemeClr w14:val="tx1"/>
            </w14:solidFill>
          </w14:textFill>
        </w:rPr>
        <w:t>文件</w:t>
      </w:r>
      <w:r>
        <w:rPr>
          <w:color w:val="000000" w:themeColor="text1"/>
          <w:sz w:val="24"/>
          <w:szCs w:val="24"/>
          <w14:textFill>
            <w14:solidFill>
              <w14:schemeClr w14:val="tx1"/>
            </w14:solidFill>
          </w14:textFill>
        </w:rPr>
        <w:t>为准</w:t>
      </w:r>
      <w:r>
        <w:rPr>
          <w:bCs/>
          <w:color w:val="000000" w:themeColor="text1"/>
          <w:sz w:val="24"/>
          <w:szCs w:val="24"/>
          <w14:textFill>
            <w14:solidFill>
              <w14:schemeClr w14:val="tx1"/>
            </w14:solidFill>
          </w14:textFill>
        </w:rPr>
        <w:t>或以</w:t>
      </w:r>
      <w:r>
        <w:rPr>
          <w:color w:val="000000" w:themeColor="text1"/>
          <w:sz w:val="24"/>
          <w:szCs w:val="24"/>
          <w14:textFill>
            <w14:solidFill>
              <w14:schemeClr w14:val="tx1"/>
            </w14:solidFill>
          </w14:textFill>
        </w:rPr>
        <w:t>采购人解释为准。若投标人</w:t>
      </w:r>
      <w:r>
        <w:rPr>
          <w:bCs/>
          <w:color w:val="000000" w:themeColor="text1"/>
          <w:sz w:val="24"/>
          <w:szCs w:val="24"/>
          <w14:textFill>
            <w14:solidFill>
              <w14:schemeClr w14:val="tx1"/>
            </w14:solidFill>
          </w14:textFill>
        </w:rPr>
        <w:t>仍</w:t>
      </w:r>
      <w:r>
        <w:rPr>
          <w:color w:val="000000" w:themeColor="text1"/>
          <w:sz w:val="24"/>
          <w:szCs w:val="24"/>
          <w14:textFill>
            <w14:solidFill>
              <w14:schemeClr w14:val="tx1"/>
            </w14:solidFill>
          </w14:textFill>
        </w:rPr>
        <w:t>拒绝接受招标</w:t>
      </w:r>
      <w:r>
        <w:rPr>
          <w:bCs/>
          <w:color w:val="000000" w:themeColor="text1"/>
          <w:sz w:val="24"/>
          <w:szCs w:val="24"/>
          <w14:textFill>
            <w14:solidFill>
              <w14:schemeClr w14:val="tx1"/>
            </w14:solidFill>
          </w14:textFill>
        </w:rPr>
        <w:t>文件的规定或</w:t>
      </w:r>
      <w:r>
        <w:rPr>
          <w:color w:val="000000" w:themeColor="text1"/>
          <w:sz w:val="24"/>
          <w:szCs w:val="24"/>
          <w14:textFill>
            <w14:solidFill>
              <w14:schemeClr w14:val="tx1"/>
            </w14:solidFill>
          </w14:textFill>
        </w:rPr>
        <w:t>采购人的解释，采购人将解除对投标人做出的一切决定，由此造成的一切损失均由投标人承担。</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8.货物和服务的追加和减少</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8.1采购合同履行中，需追加与合同标的相同的货物和服务的，在不改变价格水平、合同及其它条款的前提下，采购人可以与中标人协商签订补充合同，追加量不得超过合同总额的10%。</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8.2采购结束后，采购人若由于各种客观原因，必须对采购项目所牵涉的货物和服务进行适当的减少时，在双方协商一致的前提下，可以按照中标时价格水平做相应的调减，并据此签订补充合同。</w:t>
      </w:r>
    </w:p>
    <w:p>
      <w:pPr>
        <w:pStyle w:val="12"/>
        <w:shd w:val="clear" w:color="auto" w:fill="FFFFFF"/>
        <w:spacing w:before="0" w:beforeAutospacing="0" w:after="0" w:afterAutospacing="0" w:line="40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9.投标人须对其所提供资料的真实性和投标行为的合法性负责，如有作假或违纪，一经发现立即取消投标（中标）资格，没收履约保证金，</w:t>
      </w:r>
      <w:r>
        <w:rPr>
          <w:rFonts w:ascii="Times New Roman" w:hAnsi="Times New Roman"/>
          <w:color w:val="000000" w:themeColor="text1"/>
          <w:spacing w:val="2"/>
          <w14:textFill>
            <w14:solidFill>
              <w14:schemeClr w14:val="tx1"/>
            </w14:solidFill>
          </w14:textFill>
        </w:rPr>
        <w:t>列入学校采购不诚信企业名单，两年内不得参与学校所有采购项目，</w:t>
      </w:r>
      <w:r>
        <w:rPr>
          <w:rFonts w:ascii="Times New Roman" w:hAnsi="Times New Roman"/>
          <w:color w:val="000000" w:themeColor="text1"/>
          <w14:textFill>
            <w14:solidFill>
              <w14:schemeClr w14:val="tx1"/>
            </w14:solidFill>
          </w14:textFill>
        </w:rPr>
        <w:t>同时可在网上进行实名通报，乃至向省市政府采购主管部门报告相关供应商的不诚信行为。</w:t>
      </w:r>
    </w:p>
    <w:p>
      <w:pPr>
        <w:widowControl/>
        <w:shd w:val="clear" w:color="auto" w:fill="FFFFFF"/>
        <w:spacing w:line="400" w:lineRule="exact"/>
        <w:ind w:firstLine="440"/>
        <w:rPr>
          <w:color w:val="000000" w:themeColor="text1"/>
          <w:kern w:val="0"/>
          <w:sz w:val="24"/>
          <w14:textFill>
            <w14:solidFill>
              <w14:schemeClr w14:val="tx1"/>
            </w14:solidFill>
          </w14:textFill>
        </w:rPr>
      </w:pPr>
      <w:r>
        <w:rPr>
          <w:color w:val="000000" w:themeColor="text1"/>
          <w:kern w:val="0"/>
          <w:sz w:val="24"/>
          <w:szCs w:val="24"/>
          <w14:textFill>
            <w14:solidFill>
              <w14:schemeClr w14:val="tx1"/>
            </w14:solidFill>
          </w14:textFill>
        </w:rPr>
        <w:t>十</w:t>
      </w:r>
      <w:r>
        <w:rPr>
          <w:rFonts w:hint="eastAsia"/>
          <w:color w:val="000000" w:themeColor="text1"/>
          <w:kern w:val="0"/>
          <w:sz w:val="24"/>
          <w:szCs w:val="24"/>
          <w14:textFill>
            <w14:solidFill>
              <w14:schemeClr w14:val="tx1"/>
            </w14:solidFill>
          </w14:textFill>
        </w:rPr>
        <w:t>二</w:t>
      </w:r>
      <w:r>
        <w:rPr>
          <w:color w:val="000000" w:themeColor="text1"/>
          <w:kern w:val="0"/>
          <w:sz w:val="24"/>
          <w:szCs w:val="24"/>
          <w14:textFill>
            <w14:solidFill>
              <w14:schemeClr w14:val="tx1"/>
            </w14:solidFill>
          </w14:textFill>
        </w:rPr>
        <w:t>、本次招标工作接受淮阴工学院</w:t>
      </w:r>
      <w:r>
        <w:rPr>
          <w:color w:val="000000" w:themeColor="text1"/>
          <w:sz w:val="24"/>
          <w:szCs w:val="24"/>
          <w14:textFill>
            <w14:solidFill>
              <w14:schemeClr w14:val="tx1"/>
            </w14:solidFill>
          </w14:textFill>
        </w:rPr>
        <w:t>纪委机关</w:t>
      </w:r>
      <w:r>
        <w:rPr>
          <w:color w:val="000000" w:themeColor="text1"/>
          <w:kern w:val="0"/>
          <w:sz w:val="24"/>
          <w:szCs w:val="24"/>
          <w14:textFill>
            <w14:solidFill>
              <w14:schemeClr w14:val="tx1"/>
            </w14:solidFill>
          </w14:textFill>
        </w:rPr>
        <w:t>监督，各投标人如对采购人招标工作的公正性有异议，可向采购人</w:t>
      </w:r>
      <w:r>
        <w:rPr>
          <w:color w:val="000000" w:themeColor="text1"/>
          <w:sz w:val="24"/>
          <w:szCs w:val="24"/>
          <w14:textFill>
            <w14:solidFill>
              <w14:schemeClr w14:val="tx1"/>
            </w14:solidFill>
          </w14:textFill>
        </w:rPr>
        <w:t>纪委机关</w:t>
      </w:r>
      <w:r>
        <w:rPr>
          <w:color w:val="000000" w:themeColor="text1"/>
          <w:kern w:val="0"/>
          <w:sz w:val="24"/>
          <w14:textFill>
            <w14:solidFill>
              <w14:schemeClr w14:val="tx1"/>
            </w14:solidFill>
          </w14:textFill>
        </w:rPr>
        <w:t>投诉，投诉电话：0517-83559156、83591013。</w:t>
      </w:r>
    </w:p>
    <w:p>
      <w:pPr>
        <w:widowControl/>
        <w:shd w:val="clear" w:color="auto" w:fill="FFFFFF"/>
        <w:spacing w:line="400" w:lineRule="exact"/>
        <w:ind w:firstLine="44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十</w:t>
      </w:r>
      <w:r>
        <w:rPr>
          <w:rFonts w:hint="eastAsia"/>
          <w:color w:val="000000" w:themeColor="text1"/>
          <w:kern w:val="0"/>
          <w:sz w:val="24"/>
          <w14:textFill>
            <w14:solidFill>
              <w14:schemeClr w14:val="tx1"/>
            </w14:solidFill>
          </w14:textFill>
        </w:rPr>
        <w:t>三</w:t>
      </w:r>
      <w:r>
        <w:rPr>
          <w:color w:val="000000" w:themeColor="text1"/>
          <w:kern w:val="0"/>
          <w:sz w:val="24"/>
          <w14:textFill>
            <w14:solidFill>
              <w14:schemeClr w14:val="tx1"/>
            </w14:solidFill>
          </w14:textFill>
        </w:rPr>
        <w:t>、本招标文件解释权归淮阴工学院招标办。本招标文件可能会有改动，请在投标前仔细上网核查，恕不单独通知。</w:t>
      </w:r>
    </w:p>
    <w:p>
      <w:pPr>
        <w:widowControl/>
        <w:shd w:val="clear" w:color="auto" w:fill="FFFFFF"/>
        <w:spacing w:line="400" w:lineRule="exact"/>
        <w:ind w:firstLine="44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十</w:t>
      </w:r>
      <w:r>
        <w:rPr>
          <w:rFonts w:hint="eastAsia"/>
          <w:color w:val="000000" w:themeColor="text1"/>
          <w:kern w:val="0"/>
          <w:sz w:val="24"/>
          <w14:textFill>
            <w14:solidFill>
              <w14:schemeClr w14:val="tx1"/>
            </w14:solidFill>
          </w14:textFill>
        </w:rPr>
        <w:t>四</w:t>
      </w:r>
      <w:r>
        <w:rPr>
          <w:color w:val="000000" w:themeColor="text1"/>
          <w:kern w:val="0"/>
          <w:sz w:val="24"/>
          <w14:textFill>
            <w14:solidFill>
              <w14:schemeClr w14:val="tx1"/>
            </w14:solidFill>
          </w14:textFill>
        </w:rPr>
        <w:t>、联系方式</w:t>
      </w:r>
    </w:p>
    <w:p>
      <w:pPr>
        <w:spacing w:line="40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技术联系人：徐老师，联系电话：13952369909；</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招标办联系人：王老师、陆老师，联系电话：0517-83559815；</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联系</w:t>
      </w:r>
      <w:r>
        <w:rPr>
          <w:color w:val="000000" w:themeColor="text1"/>
          <w:kern w:val="0"/>
          <w:sz w:val="24"/>
          <w:szCs w:val="24"/>
          <w14:textFill>
            <w14:solidFill>
              <w14:schemeClr w14:val="tx1"/>
            </w14:solidFill>
          </w14:textFill>
        </w:rPr>
        <w:t>电子邮箱：zbb@hyit.edu.cn</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联系地址：淮安市枚乘东路1号，淮阴工学院翔宇楼203室。</w:t>
      </w:r>
    </w:p>
    <w:p>
      <w:pPr>
        <w:pStyle w:val="2"/>
        <w:spacing w:line="400" w:lineRule="exact"/>
        <w:rPr>
          <w:lang w:val="en-US"/>
        </w:rPr>
      </w:pPr>
    </w:p>
    <w:p>
      <w:pPr>
        <w:widowControl/>
        <w:spacing w:line="400" w:lineRule="exact"/>
        <w:ind w:firstLine="4995" w:firstLineChars="18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淮阴工学院招投标办公室</w:t>
      </w:r>
    </w:p>
    <w:p>
      <w:pPr>
        <w:widowControl/>
        <w:spacing w:line="400" w:lineRule="exact"/>
        <w:ind w:firstLine="5535" w:firstLineChars="20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2020年</w:t>
      </w:r>
      <w:r>
        <w:rPr>
          <w:color w:val="000000" w:themeColor="text1"/>
          <w:spacing w:val="15"/>
          <w:kern w:val="0"/>
          <w:sz w:val="24"/>
          <w14:textFill>
            <w14:solidFill>
              <w14:schemeClr w14:val="tx1"/>
            </w14:solidFill>
          </w14:textFill>
        </w:rPr>
        <w:t>1</w:t>
      </w:r>
      <w:r>
        <w:rPr>
          <w:rFonts w:hint="eastAsia"/>
          <w:color w:val="000000" w:themeColor="text1"/>
          <w:spacing w:val="15"/>
          <w:kern w:val="0"/>
          <w:sz w:val="24"/>
          <w:lang w:val="en-US" w:eastAsia="zh-CN"/>
          <w14:textFill>
            <w14:solidFill>
              <w14:schemeClr w14:val="tx1"/>
            </w14:solidFill>
          </w14:textFill>
        </w:rPr>
        <w:t>1</w:t>
      </w:r>
      <w:r>
        <w:rPr>
          <w:rFonts w:hint="eastAsia"/>
          <w:color w:val="000000" w:themeColor="text1"/>
          <w:spacing w:val="15"/>
          <w:kern w:val="0"/>
          <w:sz w:val="24"/>
          <w14:textFill>
            <w14:solidFill>
              <w14:schemeClr w14:val="tx1"/>
            </w14:solidFill>
          </w14:textFill>
        </w:rPr>
        <w:t>月</w:t>
      </w:r>
      <w:r>
        <w:rPr>
          <w:rFonts w:hint="eastAsia"/>
          <w:color w:val="000000" w:themeColor="text1"/>
          <w:spacing w:val="15"/>
          <w:kern w:val="0"/>
          <w:sz w:val="24"/>
          <w:lang w:val="en-US" w:eastAsia="zh-CN"/>
          <w14:textFill>
            <w14:solidFill>
              <w14:schemeClr w14:val="tx1"/>
            </w14:solidFill>
          </w14:textFill>
        </w:rPr>
        <w:t>4</w:t>
      </w:r>
      <w:r>
        <w:rPr>
          <w:rFonts w:hint="eastAsia"/>
          <w:color w:val="000000" w:themeColor="text1"/>
          <w:spacing w:val="15"/>
          <w:kern w:val="0"/>
          <w:sz w:val="24"/>
          <w14:textFill>
            <w14:solidFill>
              <w14:schemeClr w14:val="tx1"/>
            </w14:solidFill>
          </w14:textFill>
        </w:rPr>
        <w:t>日</w:t>
      </w:r>
    </w:p>
    <w:p>
      <w:pPr>
        <w:spacing w:line="400" w:lineRule="exact"/>
        <w:jc w:val="center"/>
        <w:rPr>
          <w:rFonts w:ascii="方正小标宋简体" w:eastAsia="方正小标宋简体"/>
          <w:color w:val="000000" w:themeColor="text1"/>
          <w:sz w:val="36"/>
          <w:szCs w:val="36"/>
          <w14:textFill>
            <w14:solidFill>
              <w14:schemeClr w14:val="tx1"/>
            </w14:solidFill>
          </w14:textFill>
        </w:rPr>
      </w:pPr>
      <w:r>
        <w:rPr>
          <w:color w:val="000000" w:themeColor="text1"/>
          <w:sz w:val="24"/>
          <w:szCs w:val="24"/>
          <w14:textFill>
            <w14:solidFill>
              <w14:schemeClr w14:val="tx1"/>
            </w14:solidFill>
          </w14:textFill>
        </w:rPr>
        <w:br w:type="page"/>
      </w:r>
      <w:r>
        <w:rPr>
          <w:rFonts w:hint="eastAsia" w:ascii="方正小标宋简体" w:eastAsia="方正小标宋简体"/>
          <w:color w:val="000000" w:themeColor="text1"/>
          <w:sz w:val="36"/>
          <w:szCs w:val="36"/>
          <w14:textFill>
            <w14:solidFill>
              <w14:schemeClr w14:val="tx1"/>
            </w14:solidFill>
          </w14:textFill>
        </w:rPr>
        <w:t>第二章 项目采购需求</w:t>
      </w:r>
    </w:p>
    <w:p>
      <w:pPr>
        <w:spacing w:line="400" w:lineRule="exact"/>
        <w:ind w:firstLine="440"/>
        <w:rPr>
          <w:color w:val="000000" w:themeColor="text1"/>
          <w:sz w:val="24"/>
          <w:szCs w:val="24"/>
          <w14:textFill>
            <w14:solidFill>
              <w14:schemeClr w14:val="tx1"/>
            </w14:solidFill>
          </w14:textFill>
        </w:rPr>
      </w:pPr>
    </w:p>
    <w:p>
      <w:pPr>
        <w:spacing w:line="400" w:lineRule="exact"/>
        <w:ind w:firstLine="480" w:firstLineChars="200"/>
        <w:rPr>
          <w:color w:val="000000" w:themeColor="text1"/>
          <w:sz w:val="24"/>
          <w:szCs w:val="22"/>
          <w:lang w:val="zh-CN"/>
          <w14:textFill>
            <w14:solidFill>
              <w14:schemeClr w14:val="tx1"/>
            </w14:solidFill>
          </w14:textFill>
        </w:rPr>
      </w:pPr>
      <w:r>
        <w:rPr>
          <w:rFonts w:hint="eastAsia"/>
          <w:color w:val="000000" w:themeColor="text1"/>
          <w:sz w:val="24"/>
          <w:szCs w:val="22"/>
          <w:lang w:val="zh-CN"/>
          <w14:textFill>
            <w14:solidFill>
              <w14:schemeClr w14:val="tx1"/>
            </w14:solidFill>
          </w14:textFill>
        </w:rPr>
        <w:t>一、采购清单</w:t>
      </w:r>
    </w:p>
    <w:p>
      <w:pPr>
        <w:spacing w:line="400" w:lineRule="exact"/>
        <w:ind w:left="470"/>
        <w:rPr>
          <w:color w:val="000000" w:themeColor="text1"/>
          <w:sz w:val="24"/>
          <w:lang w:val="zh-CN"/>
          <w14:textFill>
            <w14:solidFill>
              <w14:schemeClr w14:val="tx1"/>
            </w14:solidFill>
          </w14:textFill>
        </w:rPr>
      </w:pPr>
    </w:p>
    <w:tbl>
      <w:tblPr>
        <w:tblStyle w:val="15"/>
        <w:tblW w:w="8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5380"/>
        <w:gridCol w:w="84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278"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4"/>
              </w:rPr>
            </w:pPr>
            <w:r>
              <w:rPr>
                <w:rFonts w:ascii="微软雅黑" w:hAnsi="微软雅黑" w:eastAsia="微软雅黑"/>
                <w:b/>
                <w:bCs/>
                <w:sz w:val="24"/>
              </w:rPr>
              <w:br w:type="page"/>
            </w:r>
            <w:r>
              <w:rPr>
                <w:rFonts w:ascii="微软雅黑" w:hAnsi="微软雅黑" w:eastAsia="微软雅黑"/>
                <w:b/>
                <w:bCs/>
                <w:sz w:val="24"/>
              </w:rPr>
              <w:t>设备名称</w:t>
            </w:r>
          </w:p>
        </w:tc>
        <w:tc>
          <w:tcPr>
            <w:tcW w:w="5380"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4"/>
              </w:rPr>
            </w:pPr>
            <w:r>
              <w:rPr>
                <w:rFonts w:ascii="微软雅黑" w:hAnsi="微软雅黑" w:eastAsia="微软雅黑"/>
                <w:b/>
                <w:bCs/>
                <w:sz w:val="24"/>
              </w:rPr>
              <w:t>型号、规格</w:t>
            </w:r>
          </w:p>
          <w:p>
            <w:pPr>
              <w:jc w:val="center"/>
              <w:rPr>
                <w:rFonts w:ascii="微软雅黑" w:hAnsi="微软雅黑" w:eastAsia="微软雅黑"/>
                <w:b/>
                <w:bCs/>
                <w:sz w:val="24"/>
              </w:rPr>
            </w:pPr>
            <w:r>
              <w:rPr>
                <w:rFonts w:ascii="微软雅黑" w:hAnsi="微软雅黑" w:eastAsia="微软雅黑"/>
                <w:b/>
                <w:bCs/>
                <w:sz w:val="24"/>
              </w:rPr>
              <w:t>(电脑须注明详细配置)</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4"/>
              </w:rPr>
            </w:pPr>
            <w:r>
              <w:rPr>
                <w:rFonts w:hint="eastAsia" w:ascii="微软雅黑" w:hAnsi="微软雅黑" w:eastAsia="微软雅黑"/>
                <w:b/>
                <w:bCs/>
                <w:sz w:val="24"/>
              </w:rPr>
              <w:t>单位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b/>
                <w:bCs/>
                <w:sz w:val="24"/>
              </w:rPr>
            </w:pPr>
            <w:r>
              <w:rPr>
                <w:rFonts w:ascii="微软雅黑" w:hAnsi="微软雅黑" w:eastAsia="微软雅黑"/>
                <w:b/>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数字语言实验室软件</w:t>
            </w:r>
          </w:p>
        </w:tc>
        <w:tc>
          <w:tcPr>
            <w:tcW w:w="5380" w:type="dxa"/>
            <w:vAlign w:val="center"/>
          </w:tcPr>
          <w:p>
            <w:pPr>
              <w:jc w:val="left"/>
              <w:rPr>
                <w:kern w:val="0"/>
                <w:sz w:val="18"/>
                <w:szCs w:val="18"/>
              </w:rPr>
            </w:pPr>
            <w:r>
              <w:rPr>
                <w:kern w:val="0"/>
                <w:sz w:val="18"/>
                <w:szCs w:val="18"/>
              </w:rPr>
              <w:t>系统控制软件及课堂教学平台，包含功能如下：</w:t>
            </w:r>
          </w:p>
          <w:p>
            <w:pPr>
              <w:jc w:val="left"/>
              <w:rPr>
                <w:kern w:val="0"/>
                <w:sz w:val="18"/>
                <w:szCs w:val="18"/>
              </w:rPr>
            </w:pPr>
            <w:r>
              <w:rPr>
                <w:kern w:val="0"/>
                <w:sz w:val="18"/>
                <w:szCs w:val="18"/>
              </w:rPr>
              <w:t>1.常规教学功能：多媒体屏幕广播、多频道广播、电子点名、师生对讲、全通话、个别通话、教材播放、教材讲解、插话、监听辅导、远程监控、教师锁定、答题示范、转播示范、呼叫对讲、SP编辑播放、书签功能、句复读、段复读功能。</w:t>
            </w:r>
          </w:p>
          <w:p>
            <w:pPr>
              <w:jc w:val="left"/>
              <w:rPr>
                <w:kern w:val="0"/>
                <w:sz w:val="18"/>
                <w:szCs w:val="18"/>
              </w:rPr>
            </w:pPr>
            <w:r>
              <w:rPr>
                <w:kern w:val="0"/>
                <w:sz w:val="18"/>
                <w:szCs w:val="18"/>
              </w:rPr>
              <w:t>2.多媒体控制系统</w:t>
            </w:r>
          </w:p>
          <w:p>
            <w:pPr>
              <w:jc w:val="left"/>
              <w:rPr>
                <w:kern w:val="0"/>
                <w:sz w:val="18"/>
                <w:szCs w:val="18"/>
              </w:rPr>
            </w:pPr>
            <w:r>
              <w:rPr>
                <w:kern w:val="0"/>
                <w:sz w:val="18"/>
                <w:szCs w:val="18"/>
              </w:rPr>
              <w:t>2.1外围多媒体设备鼠标集控：教师利用鼠标即可红外控制外接的多媒体设备（如录音机、录像机、DVD、投影机等）。</w:t>
            </w:r>
          </w:p>
          <w:p>
            <w:pPr>
              <w:jc w:val="left"/>
              <w:rPr>
                <w:kern w:val="0"/>
                <w:sz w:val="18"/>
                <w:szCs w:val="18"/>
              </w:rPr>
            </w:pPr>
            <w:r>
              <w:rPr>
                <w:kern w:val="0"/>
                <w:sz w:val="18"/>
                <w:szCs w:val="18"/>
              </w:rPr>
              <w:t>2.2数字影视、文本播放、复听训练及诊断系统、听力辅导及评估系统、听力选择及分析系统等专业化教学系统。</w:t>
            </w:r>
          </w:p>
          <w:p>
            <w:pPr>
              <w:jc w:val="left"/>
              <w:rPr>
                <w:kern w:val="0"/>
                <w:sz w:val="18"/>
                <w:szCs w:val="18"/>
              </w:rPr>
            </w:pPr>
            <w:r>
              <w:rPr>
                <w:kern w:val="0"/>
                <w:sz w:val="18"/>
                <w:szCs w:val="18"/>
              </w:rPr>
              <w:t>2.3语音聊天训练。</w:t>
            </w:r>
          </w:p>
          <w:p>
            <w:pPr>
              <w:jc w:val="left"/>
              <w:rPr>
                <w:kern w:val="0"/>
                <w:sz w:val="18"/>
                <w:szCs w:val="18"/>
              </w:rPr>
            </w:pPr>
            <w:r>
              <w:rPr>
                <w:kern w:val="0"/>
                <w:sz w:val="18"/>
                <w:szCs w:val="18"/>
              </w:rPr>
              <w:t>2.4多路教材教学：教师可在资源库中任意选取声音或文本教材同时广播给学生，学生可任意选择其中一路收听收看。教师在广播音频教材时可授权学生自主控制播放进度。</w:t>
            </w:r>
          </w:p>
          <w:p>
            <w:pPr>
              <w:jc w:val="left"/>
              <w:rPr>
                <w:kern w:val="0"/>
                <w:sz w:val="18"/>
                <w:szCs w:val="18"/>
              </w:rPr>
            </w:pPr>
            <w:r>
              <w:rPr>
                <w:kern w:val="0"/>
                <w:sz w:val="18"/>
                <w:szCs w:val="18"/>
              </w:rPr>
              <w:t>2.5数字化教材同期生成：教师在播放磁带、录像带时可设定在其播放的同时将其同期转化为数字文件自动存储在资源库中。</w:t>
            </w:r>
          </w:p>
          <w:p>
            <w:pPr>
              <w:jc w:val="left"/>
              <w:rPr>
                <w:kern w:val="0"/>
                <w:sz w:val="18"/>
                <w:szCs w:val="18"/>
              </w:rPr>
            </w:pPr>
            <w:r>
              <w:rPr>
                <w:kern w:val="0"/>
                <w:sz w:val="18"/>
                <w:szCs w:val="18"/>
              </w:rPr>
              <w:t>2.6讲课教案同期生成：教师讲课时，可进行数字录音并同期完成录音数据压缩，同期生成MP3、WAV等数字文件自动存储在资源库当中，数字化“讲课教案”随堂生成，方便学生课后点播复习，并可以为缺课的学生补课提供方便。</w:t>
            </w:r>
          </w:p>
          <w:p>
            <w:pPr>
              <w:jc w:val="left"/>
              <w:rPr>
                <w:kern w:val="0"/>
                <w:sz w:val="18"/>
                <w:szCs w:val="18"/>
              </w:rPr>
            </w:pPr>
            <w:r>
              <w:rPr>
                <w:kern w:val="0"/>
                <w:sz w:val="18"/>
                <w:szCs w:val="18"/>
              </w:rPr>
              <w:t>2.7同声传译训练。</w:t>
            </w:r>
          </w:p>
          <w:p>
            <w:pPr>
              <w:jc w:val="left"/>
              <w:rPr>
                <w:kern w:val="0"/>
                <w:sz w:val="18"/>
                <w:szCs w:val="18"/>
              </w:rPr>
            </w:pPr>
            <w:r>
              <w:rPr>
                <w:kern w:val="0"/>
                <w:sz w:val="18"/>
                <w:szCs w:val="18"/>
              </w:rPr>
              <w:t>2.8翻译练习：可进行同声翻译和停顿翻译练习，翻译训练可分为全班模式和示范模式。</w:t>
            </w:r>
          </w:p>
          <w:p>
            <w:pPr>
              <w:jc w:val="left"/>
              <w:rPr>
                <w:kern w:val="0"/>
                <w:sz w:val="18"/>
                <w:szCs w:val="18"/>
              </w:rPr>
            </w:pPr>
            <w:r>
              <w:rPr>
                <w:kern w:val="0"/>
                <w:sz w:val="18"/>
                <w:szCs w:val="18"/>
              </w:rPr>
              <w:t>2.9分组会话：教师可将全体学生分成若干个小组做会话练习，分组方式可按行按列自动或随机分组，也可手动拖拉学生图标在各组之间移进移出做分组调整。 </w:t>
            </w:r>
          </w:p>
          <w:p>
            <w:pPr>
              <w:jc w:val="left"/>
              <w:rPr>
                <w:kern w:val="0"/>
                <w:sz w:val="18"/>
                <w:szCs w:val="18"/>
              </w:rPr>
            </w:pPr>
            <w:r>
              <w:rPr>
                <w:kern w:val="0"/>
                <w:sz w:val="18"/>
                <w:szCs w:val="18"/>
              </w:rPr>
              <w:t>2.10数字视频信号传输：教师能将教师主机屏幕上的高清视频画面（1080P）实时地广播到学生显示器屏幕上，要求采用视频交换机和标准网线实现高清晰高保真宽带图像传输，影音实时同步流畅。不采纳使用VGA视频分配器和VGA线缆进行视频广播的方式。</w:t>
            </w:r>
          </w:p>
          <w:p>
            <w:pPr>
              <w:jc w:val="left"/>
              <w:rPr>
                <w:kern w:val="0"/>
                <w:sz w:val="18"/>
                <w:szCs w:val="18"/>
              </w:rPr>
            </w:pPr>
            <w:r>
              <w:rPr>
                <w:kern w:val="0"/>
                <w:sz w:val="18"/>
                <w:szCs w:val="18"/>
              </w:rPr>
              <w:t>2.11</w:t>
            </w:r>
            <w:r>
              <w:rPr>
                <w:rFonts w:ascii="Segoe UI Symbol" w:hAnsi="Segoe UI Symbol" w:cs="Segoe UI Symbol"/>
                <w:kern w:val="0"/>
                <w:sz w:val="18"/>
                <w:szCs w:val="18"/>
              </w:rPr>
              <w:t>★</w:t>
            </w:r>
            <w:r>
              <w:rPr>
                <w:kern w:val="0"/>
                <w:sz w:val="18"/>
                <w:szCs w:val="18"/>
              </w:rPr>
              <w:t>双通道录音，双通道聆听：系统可实现数字化双通道录音，即可将两名同学的对话声或是将原语和译语分别录制在同一文件的左右不同声道上，录音回放四种可选：原语播放、译语播放、左原右译、原译混播。</w:t>
            </w:r>
          </w:p>
          <w:p>
            <w:pPr>
              <w:jc w:val="left"/>
              <w:rPr>
                <w:kern w:val="0"/>
                <w:sz w:val="18"/>
                <w:szCs w:val="18"/>
              </w:rPr>
            </w:pPr>
            <w:r>
              <w:rPr>
                <w:kern w:val="0"/>
                <w:sz w:val="18"/>
                <w:szCs w:val="18"/>
              </w:rPr>
              <w:t>2.12教师及学生终端本地直接完成MP3压缩和解压：口语考试或训练时，教师及学生的语音资料直接压缩生成MP3格式文件存储在资源库，教师及学生终端可以对资源库中以MP3格式存储的文件直接解压收听音频要求采用16位精度44.1KHz采样频率。</w:t>
            </w:r>
          </w:p>
          <w:p>
            <w:pPr>
              <w:jc w:val="left"/>
              <w:rPr>
                <w:kern w:val="0"/>
                <w:sz w:val="18"/>
                <w:szCs w:val="18"/>
              </w:rPr>
            </w:pPr>
            <w:r>
              <w:rPr>
                <w:kern w:val="0"/>
                <w:sz w:val="18"/>
                <w:szCs w:val="18"/>
              </w:rPr>
              <w:t>3.管理功能：</w:t>
            </w:r>
          </w:p>
          <w:p>
            <w:pPr>
              <w:jc w:val="left"/>
              <w:rPr>
                <w:kern w:val="0"/>
                <w:sz w:val="18"/>
                <w:szCs w:val="18"/>
              </w:rPr>
            </w:pPr>
            <w:r>
              <w:rPr>
                <w:kern w:val="0"/>
                <w:sz w:val="18"/>
                <w:szCs w:val="18"/>
              </w:rPr>
              <w:t>支持实名认证登录，可管理用户信息，资源库等。学生利用自己独有的学（账）号和密码登陆后，教师端界面将会显示登陆学生的真实姓名；智能开关，控制软件启动，系统供电，软件关闭，停止供电，使得教室的管理维护更加方便。状态显示，鼠标经过操作界面学生头像时显示学生信息、工作状态以及耳机工作状态。</w:t>
            </w:r>
          </w:p>
          <w:p>
            <w:pPr>
              <w:jc w:val="left"/>
              <w:rPr>
                <w:kern w:val="0"/>
                <w:sz w:val="18"/>
                <w:szCs w:val="18"/>
              </w:rPr>
            </w:pPr>
            <w:r>
              <w:rPr>
                <w:kern w:val="0"/>
                <w:sz w:val="18"/>
                <w:szCs w:val="18"/>
              </w:rPr>
              <w:t>4.阅读教学功能：具有阅读讲解等专业化教学系统。教师可进行选答题测试，结果以图表反馈，教师可据此针对性讲解。</w:t>
            </w:r>
          </w:p>
          <w:p>
            <w:pPr>
              <w:jc w:val="left"/>
              <w:rPr>
                <w:kern w:val="0"/>
                <w:sz w:val="18"/>
                <w:szCs w:val="18"/>
              </w:rPr>
            </w:pPr>
            <w:r>
              <w:rPr>
                <w:kern w:val="0"/>
                <w:sz w:val="18"/>
                <w:szCs w:val="18"/>
              </w:rPr>
              <w:t>5.其它要求：</w:t>
            </w:r>
          </w:p>
          <w:p>
            <w:pPr>
              <w:jc w:val="left"/>
              <w:rPr>
                <w:kern w:val="0"/>
                <w:sz w:val="18"/>
                <w:szCs w:val="18"/>
              </w:rPr>
            </w:pPr>
            <w:r>
              <w:rPr>
                <w:rFonts w:ascii="Segoe UI Symbol" w:hAnsi="Segoe UI Symbol" w:cs="Segoe UI Symbol"/>
                <w:kern w:val="0"/>
                <w:sz w:val="18"/>
                <w:szCs w:val="18"/>
              </w:rPr>
              <w:t>★</w:t>
            </w:r>
            <w:r>
              <w:rPr>
                <w:kern w:val="0"/>
                <w:sz w:val="18"/>
                <w:szCs w:val="18"/>
              </w:rPr>
              <w:t>系统主要技术指标要求：</w:t>
            </w:r>
          </w:p>
          <w:p>
            <w:pPr>
              <w:jc w:val="left"/>
              <w:rPr>
                <w:kern w:val="0"/>
                <w:sz w:val="18"/>
                <w:szCs w:val="18"/>
              </w:rPr>
            </w:pPr>
            <w:r>
              <w:rPr>
                <w:rFonts w:hint="eastAsia" w:ascii="宋体" w:hAnsi="宋体" w:cs="宋体"/>
                <w:kern w:val="0"/>
                <w:sz w:val="18"/>
                <w:szCs w:val="18"/>
              </w:rPr>
              <w:t>①</w:t>
            </w:r>
            <w:r>
              <w:rPr>
                <w:kern w:val="0"/>
                <w:sz w:val="18"/>
                <w:szCs w:val="18"/>
              </w:rPr>
              <w:t>.频率响应范围:20～20000Hz；</w:t>
            </w:r>
          </w:p>
          <w:p>
            <w:pPr>
              <w:jc w:val="left"/>
              <w:rPr>
                <w:kern w:val="0"/>
                <w:sz w:val="18"/>
                <w:szCs w:val="18"/>
              </w:rPr>
            </w:pPr>
            <w:r>
              <w:rPr>
                <w:rFonts w:hint="eastAsia" w:ascii="宋体" w:hAnsi="宋体" w:cs="宋体"/>
                <w:kern w:val="0"/>
                <w:sz w:val="18"/>
                <w:szCs w:val="18"/>
              </w:rPr>
              <w:t>②</w:t>
            </w:r>
            <w:r>
              <w:rPr>
                <w:kern w:val="0"/>
                <w:sz w:val="18"/>
                <w:szCs w:val="18"/>
              </w:rPr>
              <w:t>.信噪比（A计权）:＞75dB；</w:t>
            </w:r>
          </w:p>
          <w:p>
            <w:pPr>
              <w:jc w:val="left"/>
              <w:rPr>
                <w:kern w:val="0"/>
                <w:sz w:val="18"/>
                <w:szCs w:val="18"/>
              </w:rPr>
            </w:pPr>
            <w:r>
              <w:rPr>
                <w:rFonts w:hint="eastAsia" w:ascii="宋体" w:hAnsi="宋体" w:cs="宋体"/>
                <w:kern w:val="0"/>
                <w:sz w:val="18"/>
                <w:szCs w:val="18"/>
              </w:rPr>
              <w:t>③</w:t>
            </w:r>
            <w:r>
              <w:rPr>
                <w:kern w:val="0"/>
                <w:sz w:val="18"/>
                <w:szCs w:val="18"/>
              </w:rPr>
              <w:t>.失真度: ＜0.1%；</w:t>
            </w:r>
          </w:p>
          <w:p>
            <w:pPr>
              <w:adjustRightInd w:val="0"/>
              <w:snapToGrid w:val="0"/>
              <w:jc w:val="left"/>
              <w:rPr>
                <w:kern w:val="0"/>
                <w:sz w:val="18"/>
                <w:szCs w:val="18"/>
              </w:rPr>
            </w:pPr>
            <w:r>
              <w:rPr>
                <w:rFonts w:hint="eastAsia" w:ascii="宋体" w:hAnsi="宋体" w:cs="宋体"/>
                <w:kern w:val="0"/>
                <w:sz w:val="18"/>
                <w:szCs w:val="18"/>
              </w:rPr>
              <w:t>④</w:t>
            </w:r>
            <w:r>
              <w:rPr>
                <w:kern w:val="0"/>
                <w:sz w:val="18"/>
                <w:szCs w:val="18"/>
              </w:rPr>
              <w:t>.声音延迟:＜5ms。</w:t>
            </w:r>
          </w:p>
          <w:p>
            <w:pPr>
              <w:pStyle w:val="2"/>
              <w:spacing w:line="240" w:lineRule="auto"/>
              <w:ind w:firstLine="0" w:firstLineChars="0"/>
              <w:rPr>
                <w:rFonts w:ascii="Times New Roman" w:hAnsi="Times New Roman"/>
                <w:kern w:val="0"/>
                <w:sz w:val="18"/>
                <w:szCs w:val="18"/>
                <w:lang w:val="en-US"/>
              </w:rPr>
            </w:pPr>
            <w:r>
              <w:rPr>
                <w:rFonts w:ascii="Times New Roman" w:hAnsi="Times New Roman"/>
                <w:kern w:val="0"/>
                <w:sz w:val="18"/>
                <w:szCs w:val="18"/>
                <w:lang w:val="en-US"/>
              </w:rPr>
              <w:t>（推荐品牌：凌极、蓝鸽、正龙、浙大方圆）</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套</w:t>
            </w:r>
          </w:p>
        </w:tc>
        <w:tc>
          <w:tcPr>
            <w:tcW w:w="992" w:type="dxa"/>
            <w:vAlign w:val="center"/>
          </w:tcPr>
          <w:p>
            <w:pPr>
              <w:adjustRightInd w:val="0"/>
              <w:snapToGrid w:val="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ascii="宋体" w:hAnsi="宋体"/>
                <w:sz w:val="18"/>
                <w:szCs w:val="18"/>
              </w:rPr>
              <w:t>录课系统</w:t>
            </w:r>
          </w:p>
        </w:tc>
        <w:tc>
          <w:tcPr>
            <w:tcW w:w="5380" w:type="dxa"/>
            <w:vAlign w:val="center"/>
          </w:tcPr>
          <w:p>
            <w:pPr>
              <w:adjustRightInd w:val="0"/>
              <w:snapToGrid w:val="0"/>
              <w:jc w:val="left"/>
              <w:rPr>
                <w:sz w:val="18"/>
                <w:szCs w:val="18"/>
              </w:rPr>
            </w:pPr>
            <w:r>
              <w:rPr>
                <w:sz w:val="18"/>
                <w:szCs w:val="18"/>
              </w:rPr>
              <w:t>一、拍摄设备参数：</w:t>
            </w:r>
          </w:p>
          <w:p>
            <w:pPr>
              <w:adjustRightInd w:val="0"/>
              <w:snapToGrid w:val="0"/>
              <w:jc w:val="left"/>
              <w:rPr>
                <w:sz w:val="18"/>
                <w:szCs w:val="18"/>
              </w:rPr>
            </w:pPr>
            <w:r>
              <w:rPr>
                <w:sz w:val="18"/>
                <w:szCs w:val="18"/>
              </w:rPr>
              <w:t>1.像素：800万(分辨率3264*2448)；</w:t>
            </w:r>
          </w:p>
          <w:p>
            <w:pPr>
              <w:adjustRightInd w:val="0"/>
              <w:snapToGrid w:val="0"/>
              <w:jc w:val="left"/>
              <w:rPr>
                <w:sz w:val="18"/>
                <w:szCs w:val="18"/>
              </w:rPr>
            </w:pPr>
            <w:r>
              <w:rPr>
                <w:sz w:val="18"/>
                <w:szCs w:val="18"/>
              </w:rPr>
              <w:t>2.帧数：无线720P和1080P不低于25帧/秒；</w:t>
            </w:r>
          </w:p>
          <w:p>
            <w:pPr>
              <w:adjustRightInd w:val="0"/>
              <w:snapToGrid w:val="0"/>
              <w:jc w:val="left"/>
              <w:rPr>
                <w:sz w:val="18"/>
                <w:szCs w:val="18"/>
              </w:rPr>
            </w:pPr>
            <w:r>
              <w:rPr>
                <w:sz w:val="18"/>
                <w:szCs w:val="18"/>
              </w:rPr>
              <w:t>3.最大拍摄幅面：A4幅面，图像色彩 RGB24位真彩，拍摄速度≤1秒</w:t>
            </w:r>
          </w:p>
          <w:p>
            <w:pPr>
              <w:adjustRightInd w:val="0"/>
              <w:snapToGrid w:val="0"/>
              <w:jc w:val="left"/>
              <w:rPr>
                <w:sz w:val="18"/>
                <w:szCs w:val="18"/>
              </w:rPr>
            </w:pPr>
            <w:r>
              <w:rPr>
                <w:rFonts w:ascii="Segoe UI Symbol" w:hAnsi="Segoe UI Symbol" w:cs="Segoe UI Symbol"/>
                <w:sz w:val="18"/>
                <w:szCs w:val="18"/>
              </w:rPr>
              <w:t>★</w:t>
            </w:r>
            <w:r>
              <w:rPr>
                <w:sz w:val="18"/>
                <w:szCs w:val="18"/>
              </w:rPr>
              <w:t>4.拍摄镜头机械折臂270度翻转式（非软管式）：90度可拍摄文稿；180度可拍摄课堂活动，用作简易的录播系统；270度可录制微课。</w:t>
            </w:r>
          </w:p>
          <w:p>
            <w:pPr>
              <w:adjustRightInd w:val="0"/>
              <w:snapToGrid w:val="0"/>
              <w:jc w:val="left"/>
              <w:rPr>
                <w:sz w:val="18"/>
                <w:szCs w:val="18"/>
              </w:rPr>
            </w:pPr>
            <w:r>
              <w:rPr>
                <w:rFonts w:ascii="Segoe UI Symbol" w:hAnsi="Segoe UI Symbol" w:cs="Segoe UI Symbol"/>
                <w:sz w:val="18"/>
                <w:szCs w:val="18"/>
              </w:rPr>
              <w:t>★</w:t>
            </w:r>
            <w:r>
              <w:rPr>
                <w:sz w:val="18"/>
                <w:szCs w:val="18"/>
              </w:rPr>
              <w:t>5.磁吸式航空铝合金底座，底座和机身可分离，方便携带随时录制微课。</w:t>
            </w:r>
          </w:p>
          <w:p>
            <w:pPr>
              <w:adjustRightInd w:val="0"/>
              <w:snapToGrid w:val="0"/>
              <w:jc w:val="left"/>
              <w:rPr>
                <w:sz w:val="18"/>
                <w:szCs w:val="18"/>
              </w:rPr>
            </w:pPr>
            <w:r>
              <w:rPr>
                <w:sz w:val="18"/>
                <w:szCs w:val="18"/>
              </w:rPr>
              <w:t>6.图片格式JPG, BMP, PNG, GIF, TIF，文档格式PDF, DOC, TXT, RTF, XLS，视频格式FLV, MP4等。</w:t>
            </w:r>
          </w:p>
          <w:p>
            <w:pPr>
              <w:adjustRightInd w:val="0"/>
              <w:snapToGrid w:val="0"/>
              <w:jc w:val="left"/>
              <w:rPr>
                <w:sz w:val="18"/>
                <w:szCs w:val="18"/>
              </w:rPr>
            </w:pPr>
            <w:r>
              <w:rPr>
                <w:rFonts w:ascii="Segoe UI Symbol" w:hAnsi="Segoe UI Symbol" w:cs="Segoe UI Symbol"/>
                <w:sz w:val="18"/>
                <w:szCs w:val="18"/>
              </w:rPr>
              <w:t>★</w:t>
            </w:r>
            <w:r>
              <w:rPr>
                <w:sz w:val="18"/>
                <w:szCs w:val="18"/>
              </w:rPr>
              <w:t>7.连接方式：支持无线WIFI多点连接，无线传输频率150M/S</w:t>
            </w:r>
          </w:p>
          <w:p>
            <w:pPr>
              <w:adjustRightInd w:val="0"/>
              <w:snapToGrid w:val="0"/>
              <w:jc w:val="left"/>
              <w:rPr>
                <w:sz w:val="18"/>
                <w:szCs w:val="18"/>
              </w:rPr>
            </w:pPr>
            <w:r>
              <w:rPr>
                <w:sz w:val="18"/>
                <w:szCs w:val="18"/>
              </w:rPr>
              <w:t>8.光源：自然光、LED灯补光</w:t>
            </w:r>
          </w:p>
          <w:p>
            <w:pPr>
              <w:adjustRightInd w:val="0"/>
              <w:snapToGrid w:val="0"/>
              <w:jc w:val="left"/>
              <w:rPr>
                <w:sz w:val="18"/>
                <w:szCs w:val="18"/>
              </w:rPr>
            </w:pPr>
            <w:r>
              <w:rPr>
                <w:sz w:val="18"/>
                <w:szCs w:val="18"/>
              </w:rPr>
              <w:t>9.配置同一品牌无线降噪麦克风</w:t>
            </w:r>
          </w:p>
          <w:p>
            <w:pPr>
              <w:adjustRightInd w:val="0"/>
              <w:snapToGrid w:val="0"/>
              <w:jc w:val="left"/>
              <w:rPr>
                <w:sz w:val="18"/>
                <w:szCs w:val="18"/>
              </w:rPr>
            </w:pPr>
            <w:r>
              <w:rPr>
                <w:sz w:val="18"/>
                <w:szCs w:val="18"/>
              </w:rPr>
              <w:t>（1）麦克风采用2.4GHz无线频段，接收器与发射器配对连接2、有效使用距离可达15米，无方向限制，不串频，一对一配对杜绝手机等多种信号干扰，音质透彻清晰。</w:t>
            </w:r>
          </w:p>
          <w:p>
            <w:pPr>
              <w:adjustRightInd w:val="0"/>
              <w:snapToGrid w:val="0"/>
              <w:jc w:val="left"/>
              <w:rPr>
                <w:sz w:val="18"/>
                <w:szCs w:val="18"/>
              </w:rPr>
            </w:pPr>
            <w:r>
              <w:rPr>
                <w:sz w:val="18"/>
                <w:szCs w:val="18"/>
              </w:rPr>
              <w:t>（2）可手持、可头戴，方便携带，自动配对，配对时间≤2秒</w:t>
            </w:r>
          </w:p>
          <w:p>
            <w:pPr>
              <w:adjustRightInd w:val="0"/>
              <w:snapToGrid w:val="0"/>
              <w:jc w:val="left"/>
              <w:rPr>
                <w:sz w:val="18"/>
                <w:szCs w:val="18"/>
              </w:rPr>
            </w:pPr>
            <w:r>
              <w:rPr>
                <w:sz w:val="18"/>
                <w:szCs w:val="18"/>
              </w:rPr>
              <w:t>（3）发射功率：8dBm，工作电压：2.8V－5V，频率响应：50Hz～20KHz，信噪比：＞95db</w:t>
            </w:r>
          </w:p>
          <w:p>
            <w:pPr>
              <w:adjustRightInd w:val="0"/>
              <w:snapToGrid w:val="0"/>
              <w:jc w:val="left"/>
              <w:rPr>
                <w:sz w:val="18"/>
                <w:szCs w:val="18"/>
              </w:rPr>
            </w:pPr>
            <w:r>
              <w:rPr>
                <w:sz w:val="18"/>
                <w:szCs w:val="18"/>
              </w:rPr>
              <w:t>（4）内置充电式锂电池，使用时长可达6-8小时。</w:t>
            </w:r>
          </w:p>
          <w:p>
            <w:pPr>
              <w:adjustRightInd w:val="0"/>
              <w:snapToGrid w:val="0"/>
              <w:jc w:val="left"/>
              <w:rPr>
                <w:sz w:val="18"/>
                <w:szCs w:val="18"/>
              </w:rPr>
            </w:pPr>
            <w:r>
              <w:rPr>
                <w:sz w:val="18"/>
                <w:szCs w:val="18"/>
              </w:rPr>
              <w:t>二、智慧教室互动黑板参数：</w:t>
            </w:r>
          </w:p>
          <w:p>
            <w:pPr>
              <w:adjustRightInd w:val="0"/>
              <w:snapToGrid w:val="0"/>
              <w:jc w:val="left"/>
              <w:rPr>
                <w:sz w:val="18"/>
                <w:szCs w:val="18"/>
              </w:rPr>
            </w:pPr>
            <w:r>
              <w:rPr>
                <w:sz w:val="18"/>
                <w:szCs w:val="18"/>
              </w:rPr>
              <w:t>1.智慧教室互动黑板采用三拼设计，整机中间区域为电容触控液晶屏屏幕，可显示视频内容，进行交互触控操作等。整机包含中间区域及左右两侧面板须为4mm钢化玻璃，便于老师普通粉笔书写，效果一致。</w:t>
            </w:r>
          </w:p>
          <w:p>
            <w:pPr>
              <w:adjustRightInd w:val="0"/>
              <w:snapToGrid w:val="0"/>
              <w:jc w:val="left"/>
              <w:rPr>
                <w:sz w:val="18"/>
                <w:szCs w:val="18"/>
              </w:rPr>
            </w:pPr>
            <w:r>
              <w:rPr>
                <w:sz w:val="18"/>
                <w:szCs w:val="18"/>
              </w:rPr>
              <w:t>2.</w:t>
            </w:r>
            <w:r>
              <w:rPr>
                <w:rFonts w:ascii="Segoe UI Symbol" w:hAnsi="Segoe UI Symbol" w:cs="Segoe UI Symbol"/>
                <w:sz w:val="18"/>
                <w:szCs w:val="18"/>
              </w:rPr>
              <w:t>★</w:t>
            </w:r>
            <w:r>
              <w:rPr>
                <w:sz w:val="18"/>
                <w:szCs w:val="18"/>
              </w:rPr>
              <w:t>中间区域屏幕采用86英寸LED背光液晶屏，显示比例16:9，显示区域：1898mm * 1069mm，分辨率不低于3840x2160，亮度：500cd/㎡，具备防眩光效果。整体外观尺寸：宽度≥4000mm，高度≥1200mm，厚度≤95mm。</w:t>
            </w:r>
          </w:p>
          <w:p>
            <w:pPr>
              <w:adjustRightInd w:val="0"/>
              <w:snapToGrid w:val="0"/>
              <w:jc w:val="left"/>
              <w:rPr>
                <w:sz w:val="18"/>
                <w:szCs w:val="18"/>
              </w:rPr>
            </w:pPr>
            <w:r>
              <w:rPr>
                <w:sz w:val="18"/>
                <w:szCs w:val="18"/>
              </w:rPr>
              <w:t>3.产品采用电容触摸技术，液晶屏与触控玻璃之间贴合度高，屏幕显示通透，画质清晰。</w:t>
            </w:r>
          </w:p>
          <w:p>
            <w:pPr>
              <w:adjustRightInd w:val="0"/>
              <w:snapToGrid w:val="0"/>
              <w:jc w:val="left"/>
              <w:rPr>
                <w:sz w:val="18"/>
                <w:szCs w:val="18"/>
              </w:rPr>
            </w:pPr>
            <w:r>
              <w:rPr>
                <w:sz w:val="18"/>
                <w:szCs w:val="18"/>
              </w:rPr>
              <w:t>4.智慧教室互动黑板具备良好的色彩显示效果，通过色域覆盖率检测，色域覆盖值≥130%，智慧教室互动黑板通过蓝光危害检测，无蓝光危害，蓝光透过率≤66%，（提供具有国家认可检测机构的检验报告复印件加盖投标人公章，原件备查）。</w:t>
            </w:r>
          </w:p>
          <w:p>
            <w:pPr>
              <w:adjustRightInd w:val="0"/>
              <w:snapToGrid w:val="0"/>
              <w:jc w:val="left"/>
              <w:rPr>
                <w:sz w:val="18"/>
                <w:szCs w:val="18"/>
              </w:rPr>
            </w:pPr>
            <w:r>
              <w:rPr>
                <w:sz w:val="18"/>
                <w:szCs w:val="18"/>
              </w:rPr>
              <w:t>5.智慧教室互动黑板具有五指智能手势识别开关黑板背光功能，触控功能与传统书写功能瞬间切换。</w:t>
            </w:r>
          </w:p>
          <w:p>
            <w:pPr>
              <w:adjustRightInd w:val="0"/>
              <w:snapToGrid w:val="0"/>
              <w:jc w:val="left"/>
              <w:rPr>
                <w:sz w:val="18"/>
                <w:szCs w:val="18"/>
              </w:rPr>
            </w:pPr>
            <w:r>
              <w:rPr>
                <w:sz w:val="18"/>
                <w:szCs w:val="18"/>
              </w:rPr>
              <w:t>6.智慧教室互动黑板支持HDMI、VGA、window等多种信号源模式下支持窗口一键下移功能（提供具有国家认可检测机构的检验报告复印件加盖投标人公章，原件备查）</w:t>
            </w:r>
          </w:p>
          <w:p>
            <w:pPr>
              <w:adjustRightInd w:val="0"/>
              <w:snapToGrid w:val="0"/>
              <w:jc w:val="left"/>
              <w:rPr>
                <w:sz w:val="18"/>
                <w:szCs w:val="18"/>
              </w:rPr>
            </w:pPr>
            <w:r>
              <w:rPr>
                <w:rStyle w:val="36"/>
                <w:rFonts w:ascii="Segoe UI Symbol" w:hAnsi="Segoe UI Symbol" w:cs="Segoe UI Symbol"/>
                <w:sz w:val="18"/>
                <w:szCs w:val="18"/>
              </w:rPr>
              <w:t>★</w:t>
            </w:r>
            <w:r>
              <w:rPr>
                <w:b/>
                <w:bCs/>
                <w:sz w:val="18"/>
                <w:szCs w:val="18"/>
              </w:rPr>
              <w:t>内置电脑配置: 处理器不低于Intel I3；内存不低于4G DDR4；硬盘不低于120G-SSD 固态硬盘</w:t>
            </w:r>
            <w:r>
              <w:rPr>
                <w:sz w:val="18"/>
                <w:szCs w:val="18"/>
              </w:rPr>
              <w:t>。</w:t>
            </w:r>
          </w:p>
          <w:p>
            <w:pPr>
              <w:adjustRightInd w:val="0"/>
              <w:snapToGrid w:val="0"/>
              <w:jc w:val="left"/>
              <w:rPr>
                <w:sz w:val="18"/>
                <w:szCs w:val="18"/>
              </w:rPr>
            </w:pPr>
            <w:r>
              <w:rPr>
                <w:sz w:val="18"/>
                <w:szCs w:val="18"/>
              </w:rPr>
              <w:t>7.</w:t>
            </w:r>
            <w:r>
              <w:rPr>
                <w:rFonts w:ascii="Segoe UI Symbol" w:hAnsi="Segoe UI Symbol" w:cs="Segoe UI Symbol"/>
                <w:sz w:val="18"/>
                <w:szCs w:val="18"/>
              </w:rPr>
              <w:t>★</w:t>
            </w:r>
            <w:r>
              <w:rPr>
                <w:sz w:val="18"/>
                <w:szCs w:val="18"/>
              </w:rPr>
              <w:t>显示模组长寿命设计，具有快速散热和延缓光学黄化的性能，智慧教室互动黑板设备热扩散系数≥50mm²/S。测试标准满足：ASTME1461-13.实验温度90℃。（提供具有国家认可的权威实验室出具的检测报告复印件加盖投标人公章，原件备查）。</w:t>
            </w:r>
          </w:p>
          <w:p>
            <w:pPr>
              <w:adjustRightInd w:val="0"/>
              <w:snapToGrid w:val="0"/>
              <w:jc w:val="left"/>
              <w:rPr>
                <w:sz w:val="18"/>
                <w:szCs w:val="18"/>
              </w:rPr>
            </w:pPr>
            <w:r>
              <w:rPr>
                <w:sz w:val="18"/>
                <w:szCs w:val="18"/>
              </w:rPr>
              <w:t>8.智能亮度调节：智慧教室互动黑板可通过触控菜单快捷设置白天、夜晚两种亮度模式，以达到在不同光照环境下的最佳显示效果。</w:t>
            </w:r>
          </w:p>
          <w:p>
            <w:pPr>
              <w:adjustRightInd w:val="0"/>
              <w:snapToGrid w:val="0"/>
              <w:jc w:val="left"/>
              <w:rPr>
                <w:sz w:val="18"/>
                <w:szCs w:val="18"/>
              </w:rPr>
            </w:pPr>
            <w:r>
              <w:rPr>
                <w:sz w:val="18"/>
                <w:szCs w:val="18"/>
              </w:rPr>
              <w:t>9.OSD触控菜单：产品支持OSD触控菜单功能，实现黑板信号源切换、windows系统快捷还原、AP网络快捷还原、快捷关闭电源等功能，无需实体按键，在任意显示通道下均可通过手势在屏幕上调取该触摸菜单，方便用户操作。</w:t>
            </w:r>
          </w:p>
          <w:p>
            <w:pPr>
              <w:adjustRightInd w:val="0"/>
              <w:snapToGrid w:val="0"/>
              <w:jc w:val="left"/>
              <w:rPr>
                <w:sz w:val="18"/>
                <w:szCs w:val="18"/>
              </w:rPr>
            </w:pPr>
            <w:r>
              <w:rPr>
                <w:sz w:val="18"/>
                <w:szCs w:val="18"/>
              </w:rPr>
              <w:t>10.易用防误触：PPT课件批注功能，PPT全屏播放时可自动开启工具菜单，手指误碰到黑板不会自动翻页，需点击对应的翻页键翻页，可将批注保存在PPT上。</w:t>
            </w:r>
          </w:p>
          <w:p>
            <w:pPr>
              <w:adjustRightInd w:val="0"/>
              <w:snapToGrid w:val="0"/>
              <w:jc w:val="left"/>
              <w:rPr>
                <w:sz w:val="18"/>
                <w:szCs w:val="18"/>
              </w:rPr>
            </w:pPr>
            <w:r>
              <w:rPr>
                <w:sz w:val="18"/>
                <w:szCs w:val="18"/>
              </w:rPr>
              <w:t>11.智慧教室互动黑板触控玻璃具有国家玻璃质量监督检验中心出具的并盖有CMA、CNAS章的碎片状态、耐热冲击性能检验报告（检测报告首页盖有CMA、CNAS章，委托单位与生产单位须一致，原件备查）。</w:t>
            </w:r>
          </w:p>
          <w:p>
            <w:pPr>
              <w:adjustRightInd w:val="0"/>
              <w:snapToGrid w:val="0"/>
              <w:jc w:val="left"/>
              <w:rPr>
                <w:sz w:val="18"/>
                <w:szCs w:val="18"/>
              </w:rPr>
            </w:pPr>
            <w:r>
              <w:rPr>
                <w:sz w:val="18"/>
                <w:szCs w:val="18"/>
              </w:rPr>
              <w:t>12.智慧教室互动黑板触控玻璃具有国家玻璃质量监督检验中心出具的符合GB11614-2009《平板玻璃》标准中“优等品”的技术要求。（检测报告首页盖有CMA、CNAS章，委托单位与生产单位须一致，原件备查）。</w:t>
            </w:r>
          </w:p>
          <w:p>
            <w:pPr>
              <w:adjustRightInd w:val="0"/>
              <w:snapToGrid w:val="0"/>
              <w:jc w:val="left"/>
              <w:rPr>
                <w:sz w:val="18"/>
                <w:szCs w:val="18"/>
              </w:rPr>
            </w:pPr>
            <w:r>
              <w:rPr>
                <w:sz w:val="18"/>
                <w:szCs w:val="18"/>
              </w:rPr>
              <w:t>13.</w:t>
            </w:r>
            <w:r>
              <w:rPr>
                <w:sz w:val="18"/>
                <w:szCs w:val="18"/>
              </w:rPr>
              <w:tab/>
            </w:r>
            <w:r>
              <w:rPr>
                <w:rFonts w:ascii="Segoe UI Symbol" w:hAnsi="Segoe UI Symbol" w:cs="Segoe UI Symbol"/>
                <w:sz w:val="18"/>
                <w:szCs w:val="18"/>
              </w:rPr>
              <w:t>★</w:t>
            </w:r>
            <w:r>
              <w:rPr>
                <w:b/>
                <w:bCs/>
                <w:sz w:val="18"/>
                <w:szCs w:val="18"/>
              </w:rPr>
              <w:t>为保证产品质量、供货进度及将来便利维护，要求智慧教室互动黑板CCC证书的申请人、制造商、生产厂为同一名字。拒绝OEM产品（提供复印件加盖投标人公章，原件备查）。</w:t>
            </w:r>
          </w:p>
          <w:p>
            <w:pPr>
              <w:adjustRightInd w:val="0"/>
              <w:snapToGrid w:val="0"/>
              <w:jc w:val="left"/>
              <w:rPr>
                <w:sz w:val="18"/>
                <w:szCs w:val="18"/>
              </w:rPr>
            </w:pPr>
            <w:r>
              <w:rPr>
                <w:sz w:val="18"/>
                <w:szCs w:val="18"/>
              </w:rPr>
              <w:t>14.智慧教室互动黑板厂家具有知识产权管理体系、信息安全管理体系认证证书（提供复印件加盖投标人公章，原件备查）。</w:t>
            </w:r>
          </w:p>
          <w:p>
            <w:pPr>
              <w:adjustRightInd w:val="0"/>
              <w:snapToGrid w:val="0"/>
              <w:jc w:val="left"/>
              <w:rPr>
                <w:sz w:val="18"/>
                <w:szCs w:val="18"/>
              </w:rPr>
            </w:pPr>
            <w:r>
              <w:rPr>
                <w:sz w:val="18"/>
                <w:szCs w:val="18"/>
              </w:rPr>
              <w:t>三、软件参数：</w:t>
            </w:r>
          </w:p>
          <w:p>
            <w:pPr>
              <w:adjustRightInd w:val="0"/>
              <w:snapToGrid w:val="0"/>
              <w:jc w:val="left"/>
              <w:rPr>
                <w:sz w:val="18"/>
                <w:szCs w:val="18"/>
              </w:rPr>
            </w:pPr>
            <w:r>
              <w:rPr>
                <w:sz w:val="18"/>
                <w:szCs w:val="18"/>
              </w:rPr>
              <w:t>1.配置智慧黑板</w:t>
            </w:r>
            <w:r>
              <w:rPr>
                <w:rFonts w:hint="eastAsia"/>
                <w:sz w:val="18"/>
                <w:szCs w:val="18"/>
              </w:rPr>
              <w:t>供</w:t>
            </w:r>
            <w:r>
              <w:rPr>
                <w:sz w:val="18"/>
                <w:szCs w:val="18"/>
              </w:rPr>
              <w:t>笔记本、台式机、平板电脑、智能手机、一体机、苹果电脑、电子白板同时无线接入进行实物展示视频录制；同时连接设备数量不低于5个，无线传输距离可达50米。</w:t>
            </w:r>
          </w:p>
          <w:p>
            <w:pPr>
              <w:adjustRightInd w:val="0"/>
              <w:snapToGrid w:val="0"/>
              <w:jc w:val="left"/>
              <w:rPr>
                <w:sz w:val="18"/>
                <w:szCs w:val="18"/>
              </w:rPr>
            </w:pPr>
            <w:r>
              <w:rPr>
                <w:rFonts w:ascii="Segoe UI Symbol" w:hAnsi="Segoe UI Symbol" w:cs="Segoe UI Symbol"/>
                <w:sz w:val="18"/>
                <w:szCs w:val="18"/>
              </w:rPr>
              <w:t>★</w:t>
            </w:r>
            <w:r>
              <w:rPr>
                <w:sz w:val="18"/>
                <w:szCs w:val="18"/>
              </w:rPr>
              <w:t>2.双软件平台：含有互教教学软件、微课录制和编辑软件。</w:t>
            </w:r>
          </w:p>
          <w:p>
            <w:pPr>
              <w:adjustRightInd w:val="0"/>
              <w:snapToGrid w:val="0"/>
              <w:jc w:val="left"/>
              <w:rPr>
                <w:sz w:val="18"/>
                <w:szCs w:val="18"/>
              </w:rPr>
            </w:pPr>
            <w:r>
              <w:rPr>
                <w:sz w:val="18"/>
                <w:szCs w:val="18"/>
              </w:rPr>
              <w:t>3.实物展示，多屏动静态对比，白板，课件，桌面，五种录制模式，随意搭配组合录制。</w:t>
            </w:r>
          </w:p>
          <w:p>
            <w:pPr>
              <w:adjustRightInd w:val="0"/>
              <w:snapToGrid w:val="0"/>
              <w:jc w:val="left"/>
              <w:rPr>
                <w:sz w:val="18"/>
                <w:szCs w:val="18"/>
              </w:rPr>
            </w:pPr>
            <w:r>
              <w:rPr>
                <w:rFonts w:ascii="Segoe UI Symbol" w:hAnsi="Segoe UI Symbol" w:cs="Segoe UI Symbol"/>
                <w:sz w:val="18"/>
                <w:szCs w:val="18"/>
              </w:rPr>
              <w:t>★</w:t>
            </w:r>
            <w:r>
              <w:rPr>
                <w:sz w:val="18"/>
                <w:szCs w:val="18"/>
              </w:rPr>
              <w:t>4.支持电脑屏幕、实物展示的视频录制,支持一键切换桌面和实物展示画面录制成同一视频文件，无线录制视频格式支持FLV,MP4，无须二次转换。</w:t>
            </w:r>
          </w:p>
          <w:p>
            <w:pPr>
              <w:adjustRightInd w:val="0"/>
              <w:snapToGrid w:val="0"/>
              <w:jc w:val="left"/>
              <w:rPr>
                <w:sz w:val="18"/>
                <w:szCs w:val="18"/>
              </w:rPr>
            </w:pPr>
            <w:r>
              <w:rPr>
                <w:sz w:val="18"/>
                <w:szCs w:val="18"/>
              </w:rPr>
              <w:t>5.支持分屏对比教学功能，支持2、4、6画面同屏展示进行对比教学，对比内容支持即时拍照、调用外部图像和视频文件，以及调用无线微录仪实时动态视频等进行多屏对比，同时批注工具可用，也支持对比教学过程录制成微课。</w:t>
            </w:r>
          </w:p>
          <w:p>
            <w:pPr>
              <w:adjustRightInd w:val="0"/>
              <w:snapToGrid w:val="0"/>
              <w:jc w:val="left"/>
              <w:rPr>
                <w:sz w:val="18"/>
                <w:szCs w:val="18"/>
              </w:rPr>
            </w:pPr>
            <w:r>
              <w:rPr>
                <w:sz w:val="18"/>
                <w:szCs w:val="18"/>
              </w:rPr>
              <w:t>6．录制屏幕具有全屏、1024*768、800*600、640*480等区域大小可选，也支持设置任意区域大小录制，且电子白板工具条可批注。</w:t>
            </w:r>
          </w:p>
          <w:p>
            <w:pPr>
              <w:adjustRightInd w:val="0"/>
              <w:snapToGrid w:val="0"/>
              <w:jc w:val="left"/>
              <w:rPr>
                <w:sz w:val="18"/>
                <w:szCs w:val="18"/>
              </w:rPr>
            </w:pPr>
            <w:r>
              <w:rPr>
                <w:sz w:val="18"/>
                <w:szCs w:val="18"/>
              </w:rPr>
              <w:t>7.微课录制支持录制、暂停、继续录制、停止等操作。</w:t>
            </w:r>
          </w:p>
          <w:p>
            <w:pPr>
              <w:adjustRightInd w:val="0"/>
              <w:snapToGrid w:val="0"/>
              <w:jc w:val="left"/>
              <w:rPr>
                <w:sz w:val="18"/>
                <w:szCs w:val="18"/>
              </w:rPr>
            </w:pPr>
            <w:r>
              <w:rPr>
                <w:sz w:val="18"/>
                <w:szCs w:val="18"/>
              </w:rPr>
              <w:t>8.微录仪支持与安卓、苹果手机和平板APP，连接后可同步拍摄教学资料、试卷和实物，录制教学视频与微课。</w:t>
            </w:r>
          </w:p>
          <w:p>
            <w:pPr>
              <w:adjustRightInd w:val="0"/>
              <w:snapToGrid w:val="0"/>
              <w:jc w:val="left"/>
              <w:rPr>
                <w:sz w:val="18"/>
                <w:szCs w:val="18"/>
              </w:rPr>
            </w:pPr>
            <w:r>
              <w:rPr>
                <w:sz w:val="18"/>
                <w:szCs w:val="18"/>
              </w:rPr>
              <w:t>9.课件录制支持PPT录制，视频录制，WORD文档、EXCEL表格录制等，同时电子白板批注工具条仍可以使用。</w:t>
            </w:r>
          </w:p>
          <w:p>
            <w:pPr>
              <w:adjustRightInd w:val="0"/>
              <w:snapToGrid w:val="0"/>
              <w:jc w:val="left"/>
              <w:rPr>
                <w:sz w:val="18"/>
                <w:szCs w:val="18"/>
              </w:rPr>
            </w:pPr>
            <w:r>
              <w:rPr>
                <w:rFonts w:ascii="Segoe UI Symbol" w:hAnsi="Segoe UI Symbol" w:cs="Segoe UI Symbol"/>
                <w:sz w:val="18"/>
                <w:szCs w:val="18"/>
              </w:rPr>
              <w:t>★</w:t>
            </w:r>
            <w:r>
              <w:rPr>
                <w:sz w:val="18"/>
                <w:szCs w:val="18"/>
              </w:rPr>
              <w:t>10.支持Windows、MAC OS系统使用，其中MAC OS运行的教学软件支持实时视频展示、图片任意角度旋转、图片缩放、图片拍照、实时音视频录制等教学功能。</w:t>
            </w:r>
          </w:p>
          <w:p>
            <w:pPr>
              <w:adjustRightInd w:val="0"/>
              <w:snapToGrid w:val="0"/>
              <w:jc w:val="left"/>
              <w:rPr>
                <w:sz w:val="18"/>
                <w:szCs w:val="18"/>
              </w:rPr>
            </w:pPr>
            <w:r>
              <w:rPr>
                <w:sz w:val="18"/>
                <w:szCs w:val="18"/>
              </w:rPr>
              <w:t>11.微录仪支持电子白板讲解批注功能，可以画线、文字输入、手写、图形、黑板刷可鼠标滚动缩放，图形（三角形、圆形、椭圆、矩形等），多种线条，笔、箭头和荧光笔等，线条颜色选择，调节线条粗细，文字输入等功能。</w:t>
            </w:r>
          </w:p>
          <w:p>
            <w:pPr>
              <w:adjustRightInd w:val="0"/>
              <w:snapToGrid w:val="0"/>
              <w:jc w:val="left"/>
              <w:rPr>
                <w:sz w:val="18"/>
                <w:szCs w:val="18"/>
              </w:rPr>
            </w:pPr>
            <w:r>
              <w:rPr>
                <w:sz w:val="18"/>
                <w:szCs w:val="18"/>
              </w:rPr>
              <w:t>12.支持对实物展示画面缩放，任意角度旋转纠偏，可以随时拍照、录像、对展示和批注内容保存。</w:t>
            </w:r>
          </w:p>
          <w:p>
            <w:pPr>
              <w:adjustRightInd w:val="0"/>
              <w:snapToGrid w:val="0"/>
              <w:jc w:val="left"/>
              <w:rPr>
                <w:sz w:val="18"/>
                <w:szCs w:val="18"/>
              </w:rPr>
            </w:pPr>
            <w:r>
              <w:rPr>
                <w:rFonts w:ascii="Segoe UI Symbol" w:hAnsi="Segoe UI Symbol" w:cs="Segoe UI Symbol"/>
                <w:sz w:val="18"/>
                <w:szCs w:val="18"/>
              </w:rPr>
              <w:t>★</w:t>
            </w:r>
            <w:r>
              <w:rPr>
                <w:sz w:val="18"/>
                <w:szCs w:val="18"/>
              </w:rPr>
              <w:t>13.无线支持多场景微课录制，包括电脑屏幕、实物展示、PPT、分屏对比等内容一次录制成同一个MP4格式的视频文件，无须二次转换格式。</w:t>
            </w:r>
          </w:p>
          <w:p>
            <w:pPr>
              <w:adjustRightInd w:val="0"/>
              <w:snapToGrid w:val="0"/>
              <w:jc w:val="left"/>
              <w:rPr>
                <w:sz w:val="18"/>
                <w:szCs w:val="18"/>
              </w:rPr>
            </w:pPr>
            <w:r>
              <w:rPr>
                <w:sz w:val="18"/>
                <w:szCs w:val="18"/>
              </w:rPr>
              <w:t>14.支持一键OCR文字识别，能同时将中、英文和表格识别成doc/xls/txt/pdf/rtf等格式的文档，方便老师制作课件资料。</w:t>
            </w:r>
          </w:p>
          <w:p>
            <w:pPr>
              <w:adjustRightInd w:val="0"/>
              <w:snapToGrid w:val="0"/>
              <w:jc w:val="left"/>
              <w:rPr>
                <w:sz w:val="18"/>
                <w:szCs w:val="18"/>
              </w:rPr>
            </w:pPr>
            <w:r>
              <w:rPr>
                <w:rFonts w:ascii="Segoe UI Symbol" w:hAnsi="Segoe UI Symbol" w:cs="Segoe UI Symbol"/>
                <w:sz w:val="18"/>
                <w:szCs w:val="18"/>
              </w:rPr>
              <w:t>★</w:t>
            </w:r>
            <w:r>
              <w:rPr>
                <w:sz w:val="18"/>
                <w:szCs w:val="18"/>
              </w:rPr>
              <w:t>15.支持图像自动纠偏、裁边、自动展平的处理功能。</w:t>
            </w:r>
          </w:p>
          <w:p>
            <w:pPr>
              <w:adjustRightInd w:val="0"/>
              <w:snapToGrid w:val="0"/>
              <w:jc w:val="left"/>
              <w:rPr>
                <w:sz w:val="18"/>
                <w:szCs w:val="18"/>
              </w:rPr>
            </w:pPr>
            <w:r>
              <w:rPr>
                <w:rFonts w:ascii="Segoe UI Symbol" w:hAnsi="Segoe UI Symbol" w:cs="Segoe UI Symbol"/>
                <w:sz w:val="18"/>
                <w:szCs w:val="18"/>
              </w:rPr>
              <w:t>★</w:t>
            </w:r>
            <w:r>
              <w:rPr>
                <w:sz w:val="18"/>
                <w:szCs w:val="18"/>
              </w:rPr>
              <w:t>16.支持微课云平台功能，可以直接在软件端登入平台，支持微课上传、下载和在线观看。</w:t>
            </w:r>
          </w:p>
          <w:p>
            <w:pPr>
              <w:adjustRightInd w:val="0"/>
              <w:snapToGrid w:val="0"/>
              <w:jc w:val="left"/>
              <w:rPr>
                <w:sz w:val="18"/>
                <w:szCs w:val="18"/>
              </w:rPr>
            </w:pPr>
            <w:r>
              <w:rPr>
                <w:rFonts w:ascii="Segoe UI Symbol" w:hAnsi="Segoe UI Symbol" w:cs="Segoe UI Symbol"/>
                <w:sz w:val="18"/>
                <w:szCs w:val="18"/>
              </w:rPr>
              <w:t>★</w:t>
            </w:r>
            <w:r>
              <w:rPr>
                <w:sz w:val="18"/>
                <w:szCs w:val="18"/>
              </w:rPr>
              <w:t>17. 微录仪支持三种图片采集方式：软件上有拍照按钮拍照、双击图像拍照、智能识别手势拍照。</w:t>
            </w:r>
          </w:p>
          <w:p>
            <w:pPr>
              <w:adjustRightInd w:val="0"/>
              <w:snapToGrid w:val="0"/>
              <w:jc w:val="left"/>
              <w:rPr>
                <w:sz w:val="18"/>
                <w:szCs w:val="18"/>
              </w:rPr>
            </w:pPr>
            <w:r>
              <w:rPr>
                <w:sz w:val="18"/>
                <w:szCs w:val="18"/>
              </w:rPr>
              <w:t>18．支持微课编辑功能：可以对录制的微课添加片头、片尾、水印等；</w:t>
            </w:r>
          </w:p>
          <w:p>
            <w:pPr>
              <w:adjustRightInd w:val="0"/>
              <w:snapToGrid w:val="0"/>
              <w:jc w:val="left"/>
              <w:rPr>
                <w:sz w:val="18"/>
                <w:szCs w:val="18"/>
              </w:rPr>
            </w:pPr>
            <w:r>
              <w:rPr>
                <w:rFonts w:ascii="Segoe UI Symbol" w:hAnsi="Segoe UI Symbol" w:cs="Segoe UI Symbol"/>
                <w:sz w:val="18"/>
                <w:szCs w:val="18"/>
              </w:rPr>
              <w:t>★</w:t>
            </w:r>
            <w:r>
              <w:rPr>
                <w:sz w:val="18"/>
                <w:szCs w:val="18"/>
              </w:rPr>
              <w:t>19.可以对微课任意位置的视频剪切，且剪切后的画面可恢复。也可以对微课任意位置的音频配音，且配音后原音频可恢复。对编辑后微课一键生成视频文档。</w:t>
            </w:r>
          </w:p>
          <w:p>
            <w:pPr>
              <w:adjustRightInd w:val="0"/>
              <w:snapToGrid w:val="0"/>
              <w:jc w:val="left"/>
              <w:rPr>
                <w:sz w:val="18"/>
                <w:szCs w:val="18"/>
              </w:rPr>
            </w:pPr>
            <w:r>
              <w:rPr>
                <w:rFonts w:ascii="Segoe UI Symbol" w:hAnsi="Segoe UI Symbol" w:cs="Segoe UI Symbol"/>
                <w:sz w:val="18"/>
                <w:szCs w:val="18"/>
              </w:rPr>
              <w:t>★</w:t>
            </w:r>
            <w:r>
              <w:rPr>
                <w:sz w:val="18"/>
                <w:szCs w:val="18"/>
              </w:rPr>
              <w:t>20. 支持片头、片尾和水印模板自定义管理，支持片头、片尾、水印自定义文字大小、颜色、透明度，并可通过拖动鼠标来改变文字位置和大小。定义的模板可自动显示有视频编辑模块中。</w:t>
            </w:r>
          </w:p>
          <w:p>
            <w:pPr>
              <w:adjustRightInd w:val="0"/>
              <w:snapToGrid w:val="0"/>
              <w:jc w:val="left"/>
              <w:rPr>
                <w:sz w:val="18"/>
                <w:szCs w:val="18"/>
              </w:rPr>
            </w:pPr>
            <w:r>
              <w:rPr>
                <w:sz w:val="18"/>
                <w:szCs w:val="18"/>
              </w:rPr>
              <w:t>21．支持图片编辑：可以对图片进行亮度、对比度、饱合度、颜色调整、左转、右转、水平翻转、垂直翻转、去黑边、纠偏、裁剪、灰度、黑白、反相、浮雕、锐化等处理</w:t>
            </w:r>
          </w:p>
          <w:p>
            <w:pPr>
              <w:adjustRightInd w:val="0"/>
              <w:snapToGrid w:val="0"/>
              <w:jc w:val="left"/>
              <w:rPr>
                <w:sz w:val="18"/>
                <w:szCs w:val="18"/>
              </w:rPr>
            </w:pPr>
            <w:r>
              <w:rPr>
                <w:sz w:val="18"/>
                <w:szCs w:val="18"/>
              </w:rPr>
              <w:t>22.支持内容分类管理，系统自动按照图片、微课、文档等分类存档，微课按生成的日期自动归档，可以对图片、微课、文档分类查看，微课可在类目下按日期查看，方便文件管理和查找。</w:t>
            </w:r>
          </w:p>
          <w:p>
            <w:pPr>
              <w:pStyle w:val="2"/>
              <w:spacing w:line="240" w:lineRule="auto"/>
              <w:ind w:firstLine="0" w:firstLineChars="0"/>
              <w:rPr>
                <w:rFonts w:ascii="Times New Roman" w:hAnsi="Times New Roman"/>
                <w:sz w:val="18"/>
                <w:szCs w:val="18"/>
                <w:lang w:val="en-US"/>
              </w:rPr>
            </w:pPr>
            <w:r>
              <w:rPr>
                <w:rFonts w:ascii="Times New Roman" w:hAnsi="Times New Roman"/>
                <w:sz w:val="18"/>
                <w:szCs w:val="18"/>
                <w:lang w:val="en-US"/>
              </w:rPr>
              <w:t>（推荐品牌：纳米、云蝶、互视达等）</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套</w:t>
            </w:r>
          </w:p>
        </w:tc>
        <w:tc>
          <w:tcPr>
            <w:tcW w:w="992" w:type="dxa"/>
            <w:vAlign w:val="center"/>
          </w:tcPr>
          <w:p>
            <w:pPr>
              <w:adjustRightInd w:val="0"/>
              <w:snapToGrid w:val="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bookmarkStart w:id="0" w:name="_Hlk475019599"/>
            <w:r>
              <w:rPr>
                <w:rFonts w:hint="eastAsia" w:ascii="宋体" w:hAnsi="宋体"/>
                <w:sz w:val="18"/>
                <w:szCs w:val="18"/>
              </w:rPr>
              <w:t>云桌面管理软件</w:t>
            </w:r>
          </w:p>
        </w:tc>
        <w:tc>
          <w:tcPr>
            <w:tcW w:w="5380" w:type="dxa"/>
            <w:vAlign w:val="center"/>
          </w:tcPr>
          <w:p>
            <w:pPr>
              <w:pStyle w:val="37"/>
              <w:widowControl/>
              <w:ind w:firstLine="0" w:firstLineChars="0"/>
              <w:jc w:val="left"/>
              <w:rPr>
                <w:rFonts w:ascii="Times New Roman" w:hAnsi="Times New Roman"/>
                <w:kern w:val="0"/>
                <w:sz w:val="18"/>
                <w:szCs w:val="18"/>
              </w:rPr>
            </w:pPr>
            <w:r>
              <w:rPr>
                <w:rFonts w:ascii="Times New Roman" w:hAnsi="Times New Roman"/>
                <w:kern w:val="0"/>
                <w:sz w:val="18"/>
                <w:szCs w:val="18"/>
              </w:rPr>
              <w:t>应用软件：</w:t>
            </w:r>
          </w:p>
          <w:p>
            <w:pPr>
              <w:jc w:val="left"/>
              <w:rPr>
                <w:sz w:val="18"/>
                <w:szCs w:val="18"/>
              </w:rPr>
            </w:pPr>
            <w:r>
              <w:rPr>
                <w:rFonts w:ascii="Segoe UI Symbol" w:hAnsi="Segoe UI Symbol" w:cs="Segoe UI Symbol"/>
                <w:sz w:val="18"/>
                <w:szCs w:val="18"/>
              </w:rPr>
              <w:t>★</w:t>
            </w:r>
            <w:r>
              <w:rPr>
                <w:sz w:val="18"/>
                <w:szCs w:val="18"/>
              </w:rPr>
              <w:t>采用核心的动态局部截屏及实时压缩技术，在网络条件较差时亦能体现良好的性能；可根据网络条件调节网络补偿强度，根据广播内容调节广播及录制效率，使广播达到最佳效果，屏幕广播响应时间&lt;0.4秒。</w:t>
            </w:r>
          </w:p>
          <w:p>
            <w:pPr>
              <w:jc w:val="left"/>
              <w:rPr>
                <w:sz w:val="18"/>
                <w:szCs w:val="18"/>
              </w:rPr>
            </w:pPr>
            <w:r>
              <w:rPr>
                <w:sz w:val="18"/>
                <w:szCs w:val="18"/>
              </w:rPr>
              <w:t>防杀进程、断线保护、卸载密码保护等辅助功能维护教学秩序。</w:t>
            </w:r>
          </w:p>
          <w:p>
            <w:pPr>
              <w:jc w:val="left"/>
              <w:rPr>
                <w:sz w:val="18"/>
                <w:szCs w:val="18"/>
              </w:rPr>
            </w:pPr>
            <w:r>
              <w:rPr>
                <w:rFonts w:ascii="Segoe UI Symbol" w:hAnsi="Segoe UI Symbol" w:cs="Segoe UI Symbol"/>
                <w:sz w:val="18"/>
                <w:szCs w:val="18"/>
              </w:rPr>
              <w:t>★</w:t>
            </w:r>
            <w:r>
              <w:rPr>
                <w:sz w:val="18"/>
                <w:szCs w:val="18"/>
              </w:rPr>
              <w:t>文件分发和提交支持拖拽添加文件，可添加不同目录下的文件或文件目录。</w:t>
            </w:r>
          </w:p>
          <w:p>
            <w:pPr>
              <w:jc w:val="left"/>
              <w:rPr>
                <w:sz w:val="18"/>
                <w:szCs w:val="18"/>
              </w:rPr>
            </w:pPr>
            <w:r>
              <w:rPr>
                <w:sz w:val="18"/>
                <w:szCs w:val="18"/>
              </w:rPr>
              <w:t>文件分发和提交支持拖拽添加，教师或学生一次分发或提交多个文件夹或多个文件目录下的文件。</w:t>
            </w:r>
          </w:p>
          <w:p>
            <w:pPr>
              <w:jc w:val="left"/>
              <w:rPr>
                <w:sz w:val="18"/>
                <w:szCs w:val="18"/>
              </w:rPr>
            </w:pPr>
            <w:r>
              <w:rPr>
                <w:sz w:val="18"/>
                <w:szCs w:val="18"/>
              </w:rPr>
              <w:t>教师机对学生机可设定网络浏览、程序应用策略，对不同学生应用不同策略，策略支持开放、白名单、黑名单，任意限制或仅开放某个网页或程序，网页浏览支持QQ、IE、谷歌、360、遨游等浏览器。</w:t>
            </w:r>
          </w:p>
          <w:p>
            <w:pPr>
              <w:jc w:val="left"/>
              <w:rPr>
                <w:sz w:val="18"/>
                <w:szCs w:val="18"/>
              </w:rPr>
            </w:pPr>
            <w:r>
              <w:rPr>
                <w:rFonts w:ascii="Segoe UI Symbol" w:hAnsi="Segoe UI Symbol" w:cs="Segoe UI Symbol"/>
                <w:sz w:val="18"/>
                <w:szCs w:val="18"/>
              </w:rPr>
              <w:t>★</w:t>
            </w:r>
            <w:r>
              <w:rPr>
                <w:sz w:val="18"/>
                <w:szCs w:val="18"/>
              </w:rPr>
              <w:t>上网限制：设定学生访问网站的黑名单或白名单，对学生可以访问的Internet站点进行管理。支持多浏览器限制，如QQ、IE、谷歌、360、遨游等浏览器。</w:t>
            </w:r>
          </w:p>
          <w:p>
            <w:pPr>
              <w:jc w:val="left"/>
              <w:rPr>
                <w:sz w:val="18"/>
                <w:szCs w:val="18"/>
              </w:rPr>
            </w:pPr>
            <w:r>
              <w:rPr>
                <w:rFonts w:ascii="Segoe UI Symbol" w:hAnsi="Segoe UI Symbol" w:cs="Segoe UI Symbol"/>
                <w:sz w:val="18"/>
                <w:szCs w:val="18"/>
              </w:rPr>
              <w:t>★</w:t>
            </w:r>
            <w:r>
              <w:rPr>
                <w:sz w:val="18"/>
                <w:szCs w:val="18"/>
              </w:rPr>
              <w:t>程序限制：通过各种策略的应用，可防止学生在教学过程中打游戏，或使用QQ，MSN等聊天工具，</w:t>
            </w:r>
          </w:p>
          <w:p>
            <w:pPr>
              <w:jc w:val="left"/>
              <w:rPr>
                <w:kern w:val="0"/>
                <w:sz w:val="18"/>
                <w:szCs w:val="18"/>
              </w:rPr>
            </w:pPr>
            <w:r>
              <w:rPr>
                <w:rFonts w:ascii="Segoe UI Symbol" w:hAnsi="Segoe UI Symbol" w:cs="Segoe UI Symbol"/>
                <w:kern w:val="0"/>
                <w:sz w:val="18"/>
                <w:szCs w:val="18"/>
              </w:rPr>
              <w:t>★</w:t>
            </w:r>
            <w:r>
              <w:rPr>
                <w:kern w:val="0"/>
                <w:sz w:val="18"/>
                <w:szCs w:val="18"/>
              </w:rPr>
              <w:t>系统支持多种加密方式：加密狗加密、在线序列号加密、离线文件加密、自定义短码激活、mac地址预置激活、服务器认证多种方便的激活方式。(提供软件功能截图)</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点</w:t>
            </w:r>
          </w:p>
        </w:tc>
        <w:tc>
          <w:tcPr>
            <w:tcW w:w="992" w:type="dxa"/>
            <w:vAlign w:val="center"/>
          </w:tcPr>
          <w:p>
            <w:pPr>
              <w:adjustRightInd w:val="0"/>
              <w:snapToGrid w:val="0"/>
              <w:jc w:val="center"/>
              <w:rPr>
                <w:sz w:val="18"/>
                <w:szCs w:val="18"/>
              </w:rPr>
            </w:pPr>
            <w:r>
              <w:rPr>
                <w:sz w:val="18"/>
                <w:szCs w:val="18"/>
              </w:rPr>
              <w:t>50</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学生计算机</w:t>
            </w:r>
          </w:p>
        </w:tc>
        <w:tc>
          <w:tcPr>
            <w:tcW w:w="5380" w:type="dxa"/>
            <w:vAlign w:val="center"/>
          </w:tcPr>
          <w:p>
            <w:pPr>
              <w:adjustRightInd w:val="0"/>
              <w:snapToGrid w:val="0"/>
              <w:jc w:val="left"/>
              <w:rPr>
                <w:sz w:val="18"/>
                <w:szCs w:val="18"/>
              </w:rPr>
            </w:pPr>
            <w:r>
              <w:rPr>
                <w:sz w:val="18"/>
                <w:szCs w:val="18"/>
              </w:rPr>
              <w:t>一、硬件规格</w:t>
            </w:r>
          </w:p>
          <w:p>
            <w:pPr>
              <w:adjustRightInd w:val="0"/>
              <w:snapToGrid w:val="0"/>
              <w:jc w:val="left"/>
              <w:rPr>
                <w:sz w:val="18"/>
                <w:szCs w:val="18"/>
              </w:rPr>
            </w:pPr>
            <w:r>
              <w:rPr>
                <w:sz w:val="18"/>
                <w:szCs w:val="18"/>
              </w:rPr>
              <w:t xml:space="preserve">1. </w:t>
            </w:r>
            <w:r>
              <w:rPr>
                <w:rFonts w:ascii="Segoe UI Symbol" w:hAnsi="Segoe UI Symbol" w:cs="Segoe UI Symbol"/>
                <w:sz w:val="18"/>
                <w:szCs w:val="18"/>
              </w:rPr>
              <w:t>★</w:t>
            </w:r>
            <w:r>
              <w:rPr>
                <w:b/>
                <w:bCs/>
                <w:sz w:val="18"/>
                <w:szCs w:val="18"/>
              </w:rPr>
              <w:t>处理器采用x86架构，英特尔第9代酷睿i5处理器，≥6核四线程、 ≥9MB 缓存、≥3.0GHz主频，提供处理器原厂网页链接和截屏予以证明</w:t>
            </w:r>
            <w:r>
              <w:rPr>
                <w:sz w:val="18"/>
                <w:szCs w:val="18"/>
              </w:rPr>
              <w:t>；</w:t>
            </w:r>
          </w:p>
          <w:p>
            <w:pPr>
              <w:adjustRightInd w:val="0"/>
              <w:snapToGrid w:val="0"/>
              <w:jc w:val="left"/>
              <w:rPr>
                <w:sz w:val="18"/>
                <w:szCs w:val="18"/>
              </w:rPr>
            </w:pPr>
            <w:r>
              <w:rPr>
                <w:sz w:val="18"/>
                <w:szCs w:val="18"/>
              </w:rPr>
              <w:t>2. 内存容量不低于</w:t>
            </w:r>
            <w:r>
              <w:rPr>
                <w:b/>
                <w:bCs/>
                <w:sz w:val="18"/>
                <w:szCs w:val="18"/>
              </w:rPr>
              <w:t>4GB;</w:t>
            </w:r>
          </w:p>
          <w:p>
            <w:pPr>
              <w:adjustRightInd w:val="0"/>
              <w:snapToGrid w:val="0"/>
              <w:jc w:val="left"/>
              <w:rPr>
                <w:sz w:val="18"/>
                <w:szCs w:val="18"/>
              </w:rPr>
            </w:pPr>
            <w:r>
              <w:rPr>
                <w:sz w:val="18"/>
                <w:szCs w:val="18"/>
              </w:rPr>
              <w:t>3. 硬盘容量不低于</w:t>
            </w:r>
            <w:r>
              <w:rPr>
                <w:b/>
                <w:bCs/>
                <w:sz w:val="18"/>
                <w:szCs w:val="18"/>
              </w:rPr>
              <w:t>1TB</w:t>
            </w:r>
            <w:r>
              <w:rPr>
                <w:sz w:val="18"/>
                <w:szCs w:val="18"/>
              </w:rPr>
              <w:t>；</w:t>
            </w:r>
          </w:p>
          <w:p>
            <w:pPr>
              <w:adjustRightInd w:val="0"/>
              <w:snapToGrid w:val="0"/>
              <w:jc w:val="left"/>
              <w:rPr>
                <w:sz w:val="18"/>
                <w:szCs w:val="18"/>
              </w:rPr>
            </w:pPr>
            <w:r>
              <w:rPr>
                <w:sz w:val="18"/>
                <w:szCs w:val="18"/>
              </w:rPr>
              <w:t>4. 不少于1个PCI-E*16、2个PCI-E*1、1个PCI槽位 。</w:t>
            </w:r>
          </w:p>
          <w:p>
            <w:pPr>
              <w:adjustRightInd w:val="0"/>
              <w:snapToGrid w:val="0"/>
              <w:jc w:val="left"/>
              <w:rPr>
                <w:sz w:val="18"/>
                <w:szCs w:val="18"/>
              </w:rPr>
            </w:pPr>
            <w:r>
              <w:rPr>
                <w:sz w:val="18"/>
                <w:szCs w:val="18"/>
              </w:rPr>
              <w:t>5. 提供不少于6个USB接口，其中USB3.0接口不少于4个（含1个Type-C接口），USB2.0接口不少于2个；USB屏蔽技术，可以仅识别USB键盘、鼠标，无法识别USB读取设备，有效防止数据泄露（投标时提供功能性截屏）。</w:t>
            </w:r>
          </w:p>
          <w:p>
            <w:pPr>
              <w:adjustRightInd w:val="0"/>
              <w:snapToGrid w:val="0"/>
              <w:jc w:val="left"/>
              <w:rPr>
                <w:sz w:val="18"/>
                <w:szCs w:val="18"/>
              </w:rPr>
            </w:pPr>
            <w:r>
              <w:rPr>
                <w:sz w:val="18"/>
                <w:szCs w:val="18"/>
              </w:rPr>
              <w:t xml:space="preserve">6. </w:t>
            </w:r>
            <w:r>
              <w:rPr>
                <w:rFonts w:ascii="Segoe UI Symbol" w:hAnsi="Segoe UI Symbol" w:cs="Segoe UI Symbol"/>
                <w:sz w:val="18"/>
                <w:szCs w:val="18"/>
              </w:rPr>
              <w:t>★</w:t>
            </w:r>
            <w:r>
              <w:rPr>
                <w:sz w:val="18"/>
                <w:szCs w:val="18"/>
              </w:rPr>
              <w:t>提供不少于2个HDMI、1个VGA、1个DP接口；</w:t>
            </w:r>
          </w:p>
          <w:p>
            <w:pPr>
              <w:adjustRightInd w:val="0"/>
              <w:snapToGrid w:val="0"/>
              <w:jc w:val="left"/>
              <w:rPr>
                <w:sz w:val="18"/>
                <w:szCs w:val="18"/>
              </w:rPr>
            </w:pPr>
            <w:r>
              <w:rPr>
                <w:sz w:val="18"/>
                <w:szCs w:val="18"/>
              </w:rPr>
              <w:t>7. 支持5.1声道（提供前2后3共5个音频接口）；</w:t>
            </w:r>
          </w:p>
          <w:p>
            <w:pPr>
              <w:adjustRightInd w:val="0"/>
              <w:snapToGrid w:val="0"/>
              <w:jc w:val="left"/>
              <w:rPr>
                <w:sz w:val="18"/>
                <w:szCs w:val="18"/>
              </w:rPr>
            </w:pPr>
            <w:r>
              <w:rPr>
                <w:sz w:val="18"/>
                <w:szCs w:val="18"/>
              </w:rPr>
              <w:t>8. 提供千兆网络接口；</w:t>
            </w:r>
          </w:p>
          <w:p>
            <w:pPr>
              <w:adjustRightInd w:val="0"/>
              <w:snapToGrid w:val="0"/>
              <w:jc w:val="left"/>
              <w:rPr>
                <w:sz w:val="18"/>
                <w:szCs w:val="18"/>
              </w:rPr>
            </w:pPr>
            <w:r>
              <w:rPr>
                <w:sz w:val="18"/>
                <w:szCs w:val="18"/>
              </w:rPr>
              <w:t xml:space="preserve">9. </w:t>
            </w:r>
            <w:r>
              <w:rPr>
                <w:rFonts w:ascii="Segoe UI Symbol" w:hAnsi="Segoe UI Symbol" w:cs="Segoe UI Symbol"/>
                <w:sz w:val="18"/>
                <w:szCs w:val="18"/>
              </w:rPr>
              <w:t>★</w:t>
            </w:r>
            <w:r>
              <w:rPr>
                <w:sz w:val="18"/>
                <w:szCs w:val="18"/>
              </w:rPr>
              <w:t>整机噪音≤24dB；</w:t>
            </w:r>
          </w:p>
          <w:p>
            <w:pPr>
              <w:adjustRightInd w:val="0"/>
              <w:snapToGrid w:val="0"/>
              <w:jc w:val="left"/>
              <w:rPr>
                <w:sz w:val="18"/>
                <w:szCs w:val="18"/>
              </w:rPr>
            </w:pPr>
            <w:r>
              <w:rPr>
                <w:sz w:val="18"/>
                <w:szCs w:val="18"/>
              </w:rPr>
              <w:t>10. 具备防盗设计的显示器背挂架，支持VESA标准；</w:t>
            </w:r>
          </w:p>
          <w:p>
            <w:pPr>
              <w:adjustRightInd w:val="0"/>
              <w:snapToGrid w:val="0"/>
              <w:jc w:val="left"/>
              <w:rPr>
                <w:sz w:val="18"/>
                <w:szCs w:val="18"/>
              </w:rPr>
            </w:pPr>
            <w:r>
              <w:rPr>
                <w:sz w:val="18"/>
                <w:szCs w:val="18"/>
              </w:rPr>
              <w:t xml:space="preserve">11. </w:t>
            </w:r>
            <w:r>
              <w:rPr>
                <w:b/>
                <w:bCs/>
                <w:sz w:val="18"/>
                <w:szCs w:val="18"/>
              </w:rPr>
              <w:t>19英寸显示器，分辨率不低于1920*1080</w:t>
            </w:r>
            <w:r>
              <w:rPr>
                <w:sz w:val="18"/>
                <w:szCs w:val="18"/>
              </w:rPr>
              <w:t>，与电脑主机同品牌。</w:t>
            </w:r>
          </w:p>
          <w:p>
            <w:pPr>
              <w:adjustRightInd w:val="0"/>
              <w:snapToGrid w:val="0"/>
              <w:jc w:val="left"/>
              <w:rPr>
                <w:sz w:val="18"/>
                <w:szCs w:val="18"/>
              </w:rPr>
            </w:pPr>
            <w:r>
              <w:rPr>
                <w:sz w:val="18"/>
                <w:szCs w:val="18"/>
              </w:rPr>
              <w:t>12. USB键鼠套装，与电脑主机同品牌。</w:t>
            </w:r>
          </w:p>
          <w:p>
            <w:pPr>
              <w:pStyle w:val="2"/>
              <w:spacing w:line="240" w:lineRule="auto"/>
              <w:ind w:firstLine="0" w:firstLineChars="0"/>
              <w:rPr>
                <w:rFonts w:ascii="Times New Roman" w:hAnsi="Times New Roman"/>
                <w:sz w:val="18"/>
                <w:szCs w:val="18"/>
                <w:lang w:val="en-US"/>
              </w:rPr>
            </w:pPr>
            <w:r>
              <w:rPr>
                <w:rFonts w:ascii="Times New Roman" w:hAnsi="Times New Roman"/>
                <w:sz w:val="18"/>
                <w:szCs w:val="18"/>
                <w:lang w:val="en-US"/>
              </w:rPr>
              <w:t>（推荐品牌：联想、HP、Dell）</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台</w:t>
            </w:r>
          </w:p>
        </w:tc>
        <w:tc>
          <w:tcPr>
            <w:tcW w:w="992" w:type="dxa"/>
            <w:vAlign w:val="center"/>
          </w:tcPr>
          <w:p>
            <w:pPr>
              <w:adjustRightInd w:val="0"/>
              <w:snapToGrid w:val="0"/>
              <w:jc w:val="center"/>
              <w:rPr>
                <w:sz w:val="18"/>
                <w:szCs w:val="18"/>
              </w:rPr>
            </w:pPr>
            <w:r>
              <w:rPr>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教师计算机</w:t>
            </w:r>
          </w:p>
        </w:tc>
        <w:tc>
          <w:tcPr>
            <w:tcW w:w="5380" w:type="dxa"/>
            <w:vAlign w:val="center"/>
          </w:tcPr>
          <w:p>
            <w:pPr>
              <w:adjustRightInd w:val="0"/>
              <w:snapToGrid w:val="0"/>
              <w:jc w:val="left"/>
              <w:rPr>
                <w:sz w:val="18"/>
                <w:szCs w:val="18"/>
              </w:rPr>
            </w:pPr>
            <w:r>
              <w:rPr>
                <w:sz w:val="18"/>
                <w:szCs w:val="18"/>
              </w:rPr>
              <w:t>一、硬件规格</w:t>
            </w:r>
          </w:p>
          <w:p>
            <w:pPr>
              <w:adjustRightInd w:val="0"/>
              <w:snapToGrid w:val="0"/>
              <w:jc w:val="left"/>
              <w:rPr>
                <w:b/>
                <w:bCs/>
                <w:sz w:val="18"/>
                <w:szCs w:val="18"/>
              </w:rPr>
            </w:pPr>
            <w:r>
              <w:rPr>
                <w:sz w:val="18"/>
                <w:szCs w:val="18"/>
              </w:rPr>
              <w:t>1.</w:t>
            </w:r>
            <w:r>
              <w:rPr>
                <w:rFonts w:ascii="Segoe UI Symbol" w:hAnsi="Segoe UI Symbol" w:cs="Segoe UI Symbol"/>
                <w:sz w:val="18"/>
                <w:szCs w:val="18"/>
              </w:rPr>
              <w:t>★</w:t>
            </w:r>
            <w:r>
              <w:rPr>
                <w:sz w:val="18"/>
                <w:szCs w:val="18"/>
              </w:rPr>
              <w:t>Intel®酷睿™i7处理器；</w:t>
            </w:r>
            <w:r>
              <w:rPr>
                <w:b/>
                <w:bCs/>
                <w:sz w:val="18"/>
                <w:szCs w:val="18"/>
              </w:rPr>
              <w:t>（≥6核，≥3.0GHz 主频，≥12MB缓存）；</w:t>
            </w:r>
          </w:p>
          <w:p>
            <w:pPr>
              <w:adjustRightInd w:val="0"/>
              <w:snapToGrid w:val="0"/>
              <w:jc w:val="left"/>
              <w:rPr>
                <w:b/>
                <w:bCs/>
                <w:sz w:val="18"/>
                <w:szCs w:val="18"/>
              </w:rPr>
            </w:pPr>
            <w:r>
              <w:rPr>
                <w:b/>
                <w:bCs/>
                <w:sz w:val="18"/>
                <w:szCs w:val="18"/>
              </w:rPr>
              <w:t>2.</w:t>
            </w:r>
            <w:r>
              <w:rPr>
                <w:rFonts w:ascii="Segoe UI Symbol" w:hAnsi="Segoe UI Symbol" w:cs="Segoe UI Symbol"/>
                <w:b/>
                <w:bCs/>
                <w:sz w:val="18"/>
                <w:szCs w:val="18"/>
              </w:rPr>
              <w:t>★</w:t>
            </w:r>
            <w:r>
              <w:rPr>
                <w:b/>
                <w:bCs/>
                <w:sz w:val="18"/>
                <w:szCs w:val="18"/>
              </w:rPr>
              <w:t xml:space="preserve">Intel B365及以上芯片组； </w:t>
            </w:r>
            <w:r>
              <w:rPr>
                <w:rFonts w:ascii="Segoe UI Symbol" w:hAnsi="Segoe UI Symbol" w:cs="Segoe UI Symbol"/>
                <w:b/>
                <w:bCs/>
                <w:sz w:val="18"/>
                <w:szCs w:val="18"/>
              </w:rPr>
              <w:t>★</w:t>
            </w:r>
            <w:r>
              <w:rPr>
                <w:b/>
                <w:bCs/>
                <w:sz w:val="18"/>
                <w:szCs w:val="18"/>
              </w:rPr>
              <w:t>接口≥6个USB 3.1接口（其中至少前置2个USB 3.1 G2）、1组PS/2接口、1个串口、VGA+HDMI接口（VGA非转接）；</w:t>
            </w:r>
          </w:p>
          <w:p>
            <w:pPr>
              <w:adjustRightInd w:val="0"/>
              <w:snapToGrid w:val="0"/>
              <w:jc w:val="left"/>
              <w:rPr>
                <w:sz w:val="18"/>
                <w:szCs w:val="18"/>
              </w:rPr>
            </w:pPr>
            <w:r>
              <w:rPr>
                <w:sz w:val="18"/>
                <w:szCs w:val="18"/>
              </w:rPr>
              <w:t>3.</w:t>
            </w:r>
            <w:r>
              <w:rPr>
                <w:rFonts w:ascii="Segoe UI Symbol" w:hAnsi="Segoe UI Symbol" w:cs="Segoe UI Symbol"/>
                <w:sz w:val="18"/>
                <w:szCs w:val="18"/>
              </w:rPr>
              <w:t>★</w:t>
            </w:r>
            <w:r>
              <w:rPr>
                <w:sz w:val="18"/>
                <w:szCs w:val="18"/>
              </w:rPr>
              <w:t>内存容量不低于4GB，硬盘容量不低于1TB；</w:t>
            </w:r>
          </w:p>
          <w:p>
            <w:pPr>
              <w:adjustRightInd w:val="0"/>
              <w:snapToGrid w:val="0"/>
              <w:jc w:val="left"/>
              <w:rPr>
                <w:sz w:val="18"/>
                <w:szCs w:val="18"/>
              </w:rPr>
            </w:pPr>
            <w:r>
              <w:rPr>
                <w:sz w:val="18"/>
                <w:szCs w:val="18"/>
              </w:rPr>
              <w:t>4.</w:t>
            </w:r>
            <w:r>
              <w:rPr>
                <w:rFonts w:ascii="Segoe UI Symbol" w:hAnsi="Segoe UI Symbol" w:cs="Segoe UI Symbol"/>
                <w:sz w:val="18"/>
                <w:szCs w:val="18"/>
              </w:rPr>
              <w:t>★</w:t>
            </w:r>
            <w:r>
              <w:rPr>
                <w:sz w:val="18"/>
                <w:szCs w:val="18"/>
              </w:rPr>
              <w:t>集成双头显卡（VGA+HDMI）；集成千兆网卡；</w:t>
            </w:r>
          </w:p>
          <w:p>
            <w:pPr>
              <w:adjustRightInd w:val="0"/>
              <w:snapToGrid w:val="0"/>
              <w:jc w:val="left"/>
              <w:rPr>
                <w:sz w:val="18"/>
                <w:szCs w:val="18"/>
              </w:rPr>
            </w:pPr>
            <w:r>
              <w:rPr>
                <w:sz w:val="18"/>
                <w:szCs w:val="18"/>
              </w:rPr>
              <w:t>5.电源≤110/220V 210W 85Plus节能电源；</w:t>
            </w:r>
          </w:p>
          <w:p>
            <w:pPr>
              <w:adjustRightInd w:val="0"/>
              <w:snapToGrid w:val="0"/>
              <w:jc w:val="left"/>
              <w:rPr>
                <w:sz w:val="18"/>
                <w:szCs w:val="18"/>
              </w:rPr>
            </w:pPr>
            <w:r>
              <w:rPr>
                <w:sz w:val="18"/>
                <w:szCs w:val="18"/>
              </w:rPr>
              <w:t>6.标准MATX立式机箱，采用蜂窝结构，散热更为有效；强力散热风扇，能够达到有效降解甲醛、净化空气的效果；</w:t>
            </w:r>
          </w:p>
          <w:p>
            <w:pPr>
              <w:adjustRightInd w:val="0"/>
              <w:snapToGrid w:val="0"/>
              <w:jc w:val="left"/>
              <w:rPr>
                <w:sz w:val="18"/>
                <w:szCs w:val="18"/>
              </w:rPr>
            </w:pPr>
            <w:r>
              <w:rPr>
                <w:sz w:val="18"/>
                <w:szCs w:val="18"/>
              </w:rPr>
              <w:t>7.</w:t>
            </w:r>
            <w:r>
              <w:rPr>
                <w:rFonts w:ascii="Segoe UI Symbol" w:hAnsi="Segoe UI Symbol" w:cs="Segoe UI Symbol"/>
                <w:sz w:val="18"/>
                <w:szCs w:val="18"/>
              </w:rPr>
              <w:t>★</w:t>
            </w:r>
            <w:r>
              <w:rPr>
                <w:b/>
                <w:bCs/>
                <w:sz w:val="18"/>
                <w:szCs w:val="18"/>
              </w:rPr>
              <w:t>21.5英寸显示器两台（分辨率不低于1920*1080），</w:t>
            </w:r>
            <w:r>
              <w:rPr>
                <w:sz w:val="18"/>
                <w:szCs w:val="18"/>
              </w:rPr>
              <w:t>与电脑主机同品牌；</w:t>
            </w:r>
          </w:p>
          <w:p>
            <w:pPr>
              <w:adjustRightInd w:val="0"/>
              <w:snapToGrid w:val="0"/>
              <w:jc w:val="left"/>
              <w:rPr>
                <w:sz w:val="18"/>
                <w:szCs w:val="18"/>
              </w:rPr>
            </w:pPr>
            <w:r>
              <w:rPr>
                <w:sz w:val="18"/>
                <w:szCs w:val="18"/>
              </w:rPr>
              <w:t>8.USB键鼠，与电脑主机同品牌；</w:t>
            </w:r>
          </w:p>
          <w:p>
            <w:pPr>
              <w:adjustRightInd w:val="0"/>
              <w:snapToGrid w:val="0"/>
              <w:jc w:val="left"/>
              <w:rPr>
                <w:sz w:val="18"/>
                <w:szCs w:val="18"/>
              </w:rPr>
            </w:pPr>
            <w:r>
              <w:rPr>
                <w:sz w:val="18"/>
                <w:szCs w:val="18"/>
              </w:rPr>
              <w:t>9. DVD-RW光驱；</w:t>
            </w:r>
          </w:p>
          <w:p>
            <w:pPr>
              <w:adjustRightInd w:val="0"/>
              <w:snapToGrid w:val="0"/>
              <w:jc w:val="left"/>
              <w:rPr>
                <w:sz w:val="18"/>
                <w:szCs w:val="18"/>
              </w:rPr>
            </w:pPr>
            <w:r>
              <w:rPr>
                <w:sz w:val="18"/>
                <w:szCs w:val="18"/>
              </w:rPr>
              <w:t>10. 专业声卡</w:t>
            </w:r>
          </w:p>
          <w:p>
            <w:pPr>
              <w:adjustRightInd w:val="0"/>
              <w:snapToGrid w:val="0"/>
              <w:jc w:val="left"/>
              <w:rPr>
                <w:sz w:val="18"/>
                <w:szCs w:val="18"/>
              </w:rPr>
            </w:pPr>
            <w:r>
              <w:rPr>
                <w:sz w:val="18"/>
                <w:szCs w:val="18"/>
              </w:rPr>
              <w:t>自带网络同传功能，三年保修免费上门。</w:t>
            </w:r>
          </w:p>
          <w:p>
            <w:pPr>
              <w:pStyle w:val="2"/>
              <w:spacing w:line="240" w:lineRule="auto"/>
              <w:ind w:firstLine="0" w:firstLineChars="0"/>
              <w:rPr>
                <w:rFonts w:ascii="Times New Roman" w:hAnsi="Times New Roman"/>
                <w:sz w:val="18"/>
                <w:szCs w:val="18"/>
                <w:lang w:val="en-US"/>
              </w:rPr>
            </w:pPr>
            <w:r>
              <w:rPr>
                <w:rFonts w:ascii="Times New Roman" w:hAnsi="Times New Roman"/>
                <w:sz w:val="18"/>
                <w:szCs w:val="18"/>
                <w:lang w:val="en-US"/>
              </w:rPr>
              <w:t>（推荐品牌：联想、HP、Dell）</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台</w:t>
            </w:r>
          </w:p>
        </w:tc>
        <w:tc>
          <w:tcPr>
            <w:tcW w:w="992" w:type="dxa"/>
            <w:vAlign w:val="center"/>
          </w:tcPr>
          <w:p>
            <w:pPr>
              <w:adjustRightInd w:val="0"/>
              <w:snapToGrid w:val="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专业声卡</w:t>
            </w:r>
          </w:p>
        </w:tc>
        <w:tc>
          <w:tcPr>
            <w:tcW w:w="5380" w:type="dxa"/>
            <w:vAlign w:val="center"/>
          </w:tcPr>
          <w:p>
            <w:pPr>
              <w:adjustRightInd w:val="0"/>
              <w:snapToGrid w:val="0"/>
              <w:jc w:val="left"/>
              <w:rPr>
                <w:sz w:val="18"/>
                <w:szCs w:val="18"/>
              </w:rPr>
            </w:pPr>
            <w:r>
              <w:rPr>
                <w:sz w:val="18"/>
                <w:szCs w:val="18"/>
              </w:rPr>
              <w:t>【硬件规格】</w:t>
            </w:r>
          </w:p>
          <w:p>
            <w:pPr>
              <w:adjustRightInd w:val="0"/>
              <w:snapToGrid w:val="0"/>
              <w:jc w:val="left"/>
              <w:rPr>
                <w:sz w:val="18"/>
                <w:szCs w:val="18"/>
              </w:rPr>
            </w:pPr>
            <w:r>
              <w:rPr>
                <w:sz w:val="18"/>
                <w:szCs w:val="18"/>
              </w:rPr>
              <w:t>不少于2个麦克风输入口</w:t>
            </w:r>
          </w:p>
          <w:p>
            <w:pPr>
              <w:adjustRightInd w:val="0"/>
              <w:snapToGrid w:val="0"/>
              <w:jc w:val="left"/>
              <w:rPr>
                <w:sz w:val="18"/>
                <w:szCs w:val="18"/>
              </w:rPr>
            </w:pPr>
            <w:r>
              <w:rPr>
                <w:sz w:val="18"/>
                <w:szCs w:val="18"/>
              </w:rPr>
              <w:t>支持192kHz/24bit立体声输出；</w:t>
            </w:r>
          </w:p>
          <w:p>
            <w:pPr>
              <w:adjustRightInd w:val="0"/>
              <w:snapToGrid w:val="0"/>
              <w:jc w:val="left"/>
              <w:rPr>
                <w:sz w:val="18"/>
                <w:szCs w:val="18"/>
              </w:rPr>
            </w:pPr>
            <w:r>
              <w:rPr>
                <w:sz w:val="18"/>
                <w:szCs w:val="18"/>
              </w:rPr>
              <w:t>支持96kHz/24bit麦克风录音；</w:t>
            </w:r>
          </w:p>
          <w:p>
            <w:pPr>
              <w:pStyle w:val="2"/>
              <w:spacing w:line="240" w:lineRule="auto"/>
              <w:ind w:firstLine="0" w:firstLineChars="0"/>
              <w:rPr>
                <w:rFonts w:ascii="Times New Roman" w:hAnsi="Times New Roman"/>
                <w:sz w:val="18"/>
                <w:szCs w:val="18"/>
                <w:lang w:val="en-US"/>
              </w:rPr>
            </w:pPr>
            <w:r>
              <w:rPr>
                <w:rFonts w:ascii="Times New Roman" w:hAnsi="Times New Roman"/>
                <w:sz w:val="18"/>
                <w:szCs w:val="18"/>
                <w:lang w:val="en-US"/>
              </w:rPr>
              <w:t>（推荐品牌：创新、摩羯、齐悦）</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块</w:t>
            </w:r>
          </w:p>
        </w:tc>
        <w:tc>
          <w:tcPr>
            <w:tcW w:w="992" w:type="dxa"/>
            <w:vAlign w:val="center"/>
          </w:tcPr>
          <w:p>
            <w:pPr>
              <w:adjustRightInd w:val="0"/>
              <w:snapToGrid w:val="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教师鹅颈麦克风（含幻象电源）</w:t>
            </w:r>
          </w:p>
        </w:tc>
        <w:tc>
          <w:tcPr>
            <w:tcW w:w="5380" w:type="dxa"/>
            <w:vAlign w:val="center"/>
          </w:tcPr>
          <w:p>
            <w:pPr>
              <w:adjustRightInd w:val="0"/>
              <w:snapToGrid w:val="0"/>
              <w:jc w:val="left"/>
              <w:rPr>
                <w:sz w:val="18"/>
                <w:szCs w:val="18"/>
              </w:rPr>
            </w:pPr>
            <w:r>
              <w:rPr>
                <w:sz w:val="18"/>
                <w:szCs w:val="18"/>
              </w:rPr>
              <w:t>【硬件规格】</w:t>
            </w:r>
          </w:p>
          <w:p>
            <w:pPr>
              <w:adjustRightInd w:val="0"/>
              <w:snapToGrid w:val="0"/>
              <w:jc w:val="left"/>
              <w:rPr>
                <w:sz w:val="18"/>
                <w:szCs w:val="18"/>
              </w:rPr>
            </w:pPr>
            <w:r>
              <w:rPr>
                <w:sz w:val="18"/>
                <w:szCs w:val="18"/>
              </w:rPr>
              <w:t>频响范围：20Hz-18KHz；灵敏度：-40dB±2dB；输出阻抗：75Ω</w:t>
            </w:r>
          </w:p>
          <w:p>
            <w:pPr>
              <w:adjustRightInd w:val="0"/>
              <w:snapToGrid w:val="0"/>
              <w:jc w:val="left"/>
              <w:rPr>
                <w:sz w:val="18"/>
                <w:szCs w:val="18"/>
              </w:rPr>
            </w:pPr>
            <w:r>
              <w:rPr>
                <w:sz w:val="18"/>
                <w:szCs w:val="18"/>
              </w:rPr>
              <w:t>供电电压：幻象48V</w:t>
            </w:r>
          </w:p>
          <w:p>
            <w:pPr>
              <w:adjustRightInd w:val="0"/>
              <w:snapToGrid w:val="0"/>
              <w:jc w:val="left"/>
              <w:rPr>
                <w:sz w:val="18"/>
                <w:szCs w:val="18"/>
              </w:rPr>
            </w:pPr>
            <w:r>
              <w:rPr>
                <w:sz w:val="18"/>
                <w:szCs w:val="18"/>
              </w:rPr>
              <w:t>音质清晰明亮，灵敏度高，噪低。</w:t>
            </w:r>
          </w:p>
          <w:p>
            <w:pPr>
              <w:pStyle w:val="2"/>
              <w:spacing w:line="240" w:lineRule="auto"/>
              <w:ind w:firstLine="0" w:firstLineChars="0"/>
              <w:rPr>
                <w:rFonts w:ascii="Times New Roman" w:hAnsi="Times New Roman"/>
                <w:sz w:val="18"/>
                <w:szCs w:val="18"/>
                <w:lang w:val="en-US"/>
              </w:rPr>
            </w:pPr>
            <w:r>
              <w:rPr>
                <w:rFonts w:ascii="Times New Roman" w:hAnsi="Times New Roman"/>
                <w:sz w:val="18"/>
                <w:szCs w:val="18"/>
                <w:lang w:val="en-US"/>
              </w:rPr>
              <w:t>（推荐品牌：昊天、铁三角、飞利浦）</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个</w:t>
            </w:r>
          </w:p>
        </w:tc>
        <w:tc>
          <w:tcPr>
            <w:tcW w:w="992" w:type="dxa"/>
            <w:vAlign w:val="center"/>
          </w:tcPr>
          <w:p>
            <w:pPr>
              <w:adjustRightInd w:val="0"/>
              <w:snapToGrid w:val="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耳机话筒组</w:t>
            </w:r>
          </w:p>
        </w:tc>
        <w:tc>
          <w:tcPr>
            <w:tcW w:w="5380" w:type="dxa"/>
            <w:vAlign w:val="center"/>
          </w:tcPr>
          <w:p>
            <w:pPr>
              <w:adjustRightInd w:val="0"/>
              <w:snapToGrid w:val="0"/>
              <w:jc w:val="left"/>
              <w:rPr>
                <w:sz w:val="18"/>
                <w:szCs w:val="18"/>
              </w:rPr>
            </w:pPr>
            <w:r>
              <w:rPr>
                <w:sz w:val="18"/>
                <w:szCs w:val="18"/>
              </w:rPr>
              <w:t>【硬件规格】</w:t>
            </w:r>
          </w:p>
          <w:p>
            <w:pPr>
              <w:adjustRightInd w:val="0"/>
              <w:snapToGrid w:val="0"/>
              <w:jc w:val="left"/>
              <w:rPr>
                <w:sz w:val="18"/>
                <w:szCs w:val="18"/>
              </w:rPr>
            </w:pPr>
            <w:r>
              <w:rPr>
                <w:sz w:val="18"/>
                <w:szCs w:val="18"/>
              </w:rPr>
              <w:t>麦克增益，高清晰音质</w:t>
            </w:r>
          </w:p>
          <w:p>
            <w:pPr>
              <w:adjustRightInd w:val="0"/>
              <w:snapToGrid w:val="0"/>
              <w:jc w:val="left"/>
              <w:rPr>
                <w:sz w:val="18"/>
                <w:szCs w:val="18"/>
              </w:rPr>
            </w:pPr>
            <w:r>
              <w:rPr>
                <w:sz w:val="18"/>
                <w:szCs w:val="18"/>
              </w:rPr>
              <w:t xml:space="preserve">耳机频响范围：20Hz-20KHz；耳机灵敏度：118dB S.P.L.at 1KHz；耳机阻抗：32Ω </w:t>
            </w:r>
          </w:p>
          <w:p>
            <w:pPr>
              <w:adjustRightInd w:val="0"/>
              <w:snapToGrid w:val="0"/>
              <w:jc w:val="left"/>
              <w:rPr>
                <w:sz w:val="18"/>
                <w:szCs w:val="18"/>
              </w:rPr>
            </w:pPr>
            <w:r>
              <w:rPr>
                <w:sz w:val="18"/>
                <w:szCs w:val="18"/>
              </w:rPr>
              <w:t>麦克频响范围：20Hz-20KHz；麦克灵敏度：-30dB；麦克阻抗：2.2kΩ 标准3.5mm插头适用于各种设备。</w:t>
            </w:r>
          </w:p>
          <w:p>
            <w:pPr>
              <w:adjustRightInd w:val="0"/>
              <w:snapToGrid w:val="0"/>
              <w:jc w:val="left"/>
              <w:rPr>
                <w:sz w:val="18"/>
                <w:szCs w:val="18"/>
              </w:rPr>
            </w:pPr>
            <w:r>
              <w:rPr>
                <w:sz w:val="18"/>
                <w:szCs w:val="18"/>
              </w:rPr>
              <w:t>双面耳罩有助于屏蔽杂音，从而提供工作效率。</w:t>
            </w:r>
          </w:p>
          <w:p>
            <w:pPr>
              <w:pStyle w:val="2"/>
              <w:spacing w:line="240" w:lineRule="auto"/>
              <w:ind w:firstLine="0" w:firstLineChars="0"/>
              <w:rPr>
                <w:rFonts w:ascii="Times New Roman" w:hAnsi="Times New Roman"/>
                <w:sz w:val="18"/>
                <w:szCs w:val="18"/>
                <w:lang w:val="en-US"/>
              </w:rPr>
            </w:pPr>
            <w:r>
              <w:rPr>
                <w:rFonts w:ascii="Times New Roman" w:hAnsi="Times New Roman"/>
                <w:sz w:val="18"/>
                <w:szCs w:val="18"/>
                <w:lang w:val="en-US"/>
              </w:rPr>
              <w:t>（推荐品牌：昊天、铁三角、飞利浦）</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个</w:t>
            </w:r>
          </w:p>
        </w:tc>
        <w:tc>
          <w:tcPr>
            <w:tcW w:w="992" w:type="dxa"/>
            <w:vAlign w:val="center"/>
          </w:tcPr>
          <w:p>
            <w:pPr>
              <w:adjustRightInd w:val="0"/>
              <w:snapToGrid w:val="0"/>
              <w:jc w:val="center"/>
              <w:rPr>
                <w:sz w:val="18"/>
                <w:szCs w:val="18"/>
              </w:rPr>
            </w:pPr>
            <w:r>
              <w:rPr>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功放，音箱</w:t>
            </w:r>
          </w:p>
        </w:tc>
        <w:tc>
          <w:tcPr>
            <w:tcW w:w="5380" w:type="dxa"/>
            <w:vAlign w:val="center"/>
          </w:tcPr>
          <w:p>
            <w:pPr>
              <w:adjustRightInd w:val="0"/>
              <w:snapToGrid w:val="0"/>
              <w:jc w:val="left"/>
              <w:rPr>
                <w:sz w:val="18"/>
                <w:szCs w:val="18"/>
              </w:rPr>
            </w:pPr>
            <w:r>
              <w:rPr>
                <w:sz w:val="18"/>
                <w:szCs w:val="18"/>
              </w:rPr>
              <w:t>音箱：1：木质音箱。2:可三个方向壁挂和安装。3:音箱功率60W；4:阻抗:8欧; 5:频率响应：40Hz-20KHz；6:灵敏度：87Db；</w:t>
            </w:r>
          </w:p>
          <w:p>
            <w:pPr>
              <w:adjustRightInd w:val="0"/>
              <w:snapToGrid w:val="0"/>
              <w:jc w:val="left"/>
              <w:rPr>
                <w:sz w:val="18"/>
                <w:szCs w:val="18"/>
              </w:rPr>
            </w:pPr>
            <w:r>
              <w:rPr>
                <w:sz w:val="18"/>
                <w:szCs w:val="18"/>
              </w:rPr>
              <w:t>功放：1）频率响应：20Hz～20KHz；2）额定输入电平：MIC1-MIC2话筒： 5mV；MIC3、线路：300mV； 3）输出阻抗：线路：≤100Ω；功率：8Ω；4）输出功率：2*80W，定阻4Ω；5）音调控制：高音10KHz，0—14dB低音100Hz，0—14dB5）噪声电平：   线路输出：≤1mV；功放输出：≤20mV</w:t>
            </w:r>
          </w:p>
          <w:p>
            <w:pPr>
              <w:adjustRightInd w:val="0"/>
              <w:snapToGrid w:val="0"/>
              <w:jc w:val="left"/>
              <w:rPr>
                <w:sz w:val="18"/>
                <w:szCs w:val="18"/>
              </w:rPr>
            </w:pPr>
            <w:r>
              <w:rPr>
                <w:sz w:val="18"/>
                <w:szCs w:val="18"/>
              </w:rPr>
              <w:t>（推荐品牌：湖山、昊天、佳比）</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组</w:t>
            </w:r>
          </w:p>
        </w:tc>
        <w:tc>
          <w:tcPr>
            <w:tcW w:w="992" w:type="dxa"/>
            <w:vAlign w:val="center"/>
          </w:tcPr>
          <w:p>
            <w:pPr>
              <w:adjustRightInd w:val="0"/>
              <w:snapToGrid w:val="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千兆网络交换机</w:t>
            </w:r>
          </w:p>
        </w:tc>
        <w:tc>
          <w:tcPr>
            <w:tcW w:w="5380" w:type="dxa"/>
            <w:vAlign w:val="center"/>
          </w:tcPr>
          <w:p>
            <w:pPr>
              <w:adjustRightInd w:val="0"/>
              <w:snapToGrid w:val="0"/>
              <w:jc w:val="left"/>
              <w:rPr>
                <w:sz w:val="18"/>
                <w:szCs w:val="18"/>
              </w:rPr>
            </w:pPr>
            <w:r>
              <w:rPr>
                <w:sz w:val="18"/>
                <w:szCs w:val="18"/>
              </w:rPr>
              <w:t>24口千兆交换机，二层以太网交换机；</w:t>
            </w:r>
          </w:p>
          <w:p>
            <w:pPr>
              <w:adjustRightInd w:val="0"/>
              <w:snapToGrid w:val="0"/>
              <w:jc w:val="left"/>
              <w:rPr>
                <w:sz w:val="18"/>
                <w:szCs w:val="18"/>
              </w:rPr>
            </w:pPr>
            <w:r>
              <w:rPr>
                <w:sz w:val="18"/>
                <w:szCs w:val="18"/>
              </w:rPr>
              <w:t>传输速率10Mbps/100Mbps/1000Mbps；</w:t>
            </w:r>
          </w:p>
          <w:p>
            <w:pPr>
              <w:adjustRightInd w:val="0"/>
              <w:snapToGrid w:val="0"/>
              <w:jc w:val="left"/>
              <w:rPr>
                <w:sz w:val="18"/>
                <w:szCs w:val="18"/>
              </w:rPr>
            </w:pPr>
            <w:r>
              <w:rPr>
                <w:sz w:val="18"/>
                <w:szCs w:val="18"/>
              </w:rPr>
              <w:t>支持IEEE 802.3X、IEEE 802.1Q、IEEE 802.1X，IEEE802.1p，IEEE 802.3ab，IEEE 802.3网络标准；</w:t>
            </w:r>
          </w:p>
          <w:p>
            <w:pPr>
              <w:adjustRightInd w:val="0"/>
              <w:snapToGrid w:val="0"/>
              <w:jc w:val="left"/>
              <w:rPr>
                <w:sz w:val="18"/>
                <w:szCs w:val="18"/>
              </w:rPr>
            </w:pPr>
            <w:r>
              <w:rPr>
                <w:sz w:val="18"/>
                <w:szCs w:val="18"/>
              </w:rPr>
              <w:t>支持VLAN、QOS、网管等功能；</w:t>
            </w:r>
          </w:p>
          <w:p>
            <w:pPr>
              <w:adjustRightInd w:val="0"/>
              <w:snapToGrid w:val="0"/>
              <w:jc w:val="left"/>
              <w:rPr>
                <w:sz w:val="18"/>
                <w:szCs w:val="18"/>
              </w:rPr>
            </w:pPr>
            <w:r>
              <w:rPr>
                <w:sz w:val="18"/>
                <w:szCs w:val="18"/>
              </w:rPr>
              <w:t>各端口自动MDI/MDIX转换；</w:t>
            </w:r>
          </w:p>
          <w:p>
            <w:pPr>
              <w:adjustRightInd w:val="0"/>
              <w:snapToGrid w:val="0"/>
              <w:jc w:val="left"/>
              <w:rPr>
                <w:sz w:val="18"/>
                <w:szCs w:val="18"/>
              </w:rPr>
            </w:pPr>
            <w:r>
              <w:rPr>
                <w:sz w:val="18"/>
                <w:szCs w:val="18"/>
              </w:rPr>
              <w:t>各端口10/100/1000Mbps全/半双工自动协商；</w:t>
            </w:r>
          </w:p>
          <w:p>
            <w:pPr>
              <w:adjustRightInd w:val="0"/>
              <w:snapToGrid w:val="0"/>
              <w:jc w:val="left"/>
              <w:rPr>
                <w:sz w:val="18"/>
                <w:szCs w:val="18"/>
              </w:rPr>
            </w:pPr>
            <w:r>
              <w:rPr>
                <w:sz w:val="18"/>
                <w:szCs w:val="18"/>
              </w:rPr>
              <w:t>支持操作WEB管理；支持线缆检测；</w:t>
            </w:r>
          </w:p>
          <w:p>
            <w:pPr>
              <w:adjustRightInd w:val="0"/>
              <w:snapToGrid w:val="0"/>
              <w:jc w:val="left"/>
              <w:rPr>
                <w:sz w:val="18"/>
                <w:szCs w:val="18"/>
              </w:rPr>
            </w:pPr>
            <w:r>
              <w:rPr>
                <w:sz w:val="18"/>
                <w:szCs w:val="18"/>
              </w:rPr>
              <w:t>配置文件的导入/导出等；</w:t>
            </w:r>
          </w:p>
          <w:p>
            <w:pPr>
              <w:adjustRightInd w:val="0"/>
              <w:snapToGrid w:val="0"/>
              <w:jc w:val="left"/>
              <w:rPr>
                <w:sz w:val="18"/>
                <w:szCs w:val="18"/>
              </w:rPr>
            </w:pPr>
            <w:r>
              <w:rPr>
                <w:sz w:val="18"/>
                <w:szCs w:val="18"/>
              </w:rPr>
              <w:t>支持MAC地址管理，MAC地址的绑定和过滤。</w:t>
            </w:r>
          </w:p>
          <w:p>
            <w:pPr>
              <w:pStyle w:val="2"/>
              <w:spacing w:line="240" w:lineRule="auto"/>
              <w:ind w:firstLine="0" w:firstLineChars="0"/>
              <w:rPr>
                <w:rFonts w:ascii="Times New Roman" w:hAnsi="Times New Roman"/>
                <w:sz w:val="18"/>
                <w:szCs w:val="18"/>
                <w:lang w:val="en-US"/>
              </w:rPr>
            </w:pPr>
            <w:r>
              <w:rPr>
                <w:rFonts w:ascii="Times New Roman" w:hAnsi="Times New Roman"/>
                <w:sz w:val="18"/>
                <w:szCs w:val="18"/>
                <w:lang w:val="en-US"/>
              </w:rPr>
              <w:t>（推荐品牌：华为、锐捷、华三）</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台</w:t>
            </w:r>
          </w:p>
        </w:tc>
        <w:tc>
          <w:tcPr>
            <w:tcW w:w="992" w:type="dxa"/>
            <w:vAlign w:val="center"/>
          </w:tcPr>
          <w:p>
            <w:pPr>
              <w:adjustRightInd w:val="0"/>
              <w:snapToGrid w:val="0"/>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教师主控桌椅</w:t>
            </w:r>
          </w:p>
        </w:tc>
        <w:tc>
          <w:tcPr>
            <w:tcW w:w="5380" w:type="dxa"/>
            <w:vAlign w:val="center"/>
          </w:tcPr>
          <w:p>
            <w:pPr>
              <w:adjustRightInd w:val="0"/>
              <w:snapToGrid w:val="0"/>
              <w:rPr>
                <w:sz w:val="18"/>
                <w:szCs w:val="18"/>
              </w:rPr>
            </w:pPr>
            <w:r>
              <w:rPr>
                <w:sz w:val="18"/>
                <w:szCs w:val="18"/>
              </w:rPr>
              <w:t>一、教师主控桌，尺寸（长1800mm*宽800mm*750mm）。防火板贴面，板材：三聚氰胺板，优质PVC封边，板材为E1级。</w:t>
            </w:r>
          </w:p>
          <w:p>
            <w:pPr>
              <w:pStyle w:val="2"/>
              <w:spacing w:line="240" w:lineRule="auto"/>
              <w:ind w:firstLine="0" w:firstLineChars="0"/>
              <w:rPr>
                <w:rFonts w:ascii="Times New Roman" w:hAnsi="Times New Roman"/>
                <w:sz w:val="18"/>
                <w:szCs w:val="18"/>
              </w:rPr>
            </w:pPr>
            <w:r>
              <w:rPr>
                <w:rFonts w:ascii="Times New Roman" w:hAnsi="Times New Roman"/>
                <w:sz w:val="18"/>
                <w:szCs w:val="18"/>
              </w:rPr>
              <w:t>（1）台面板：厚度为25mm，</w:t>
            </w:r>
            <w:r>
              <w:rPr>
                <w:rFonts w:ascii="Times New Roman" w:hAnsi="Times New Roman"/>
                <w:sz w:val="18"/>
                <w:szCs w:val="18"/>
                <w:lang w:val="en-US"/>
              </w:rPr>
              <w:t>柜体板：厚度为18mm，</w:t>
            </w:r>
            <w:r>
              <w:rPr>
                <w:rFonts w:ascii="Times New Roman" w:hAnsi="Times New Roman"/>
                <w:sz w:val="18"/>
                <w:szCs w:val="18"/>
              </w:rPr>
              <w:t xml:space="preserve"> E1级双贴面防火板，</w:t>
            </w:r>
            <w:r>
              <w:rPr>
                <w:rFonts w:ascii="Segoe UI Symbol" w:hAnsi="Segoe UI Symbol" w:cs="Segoe UI Symbol"/>
                <w:sz w:val="18"/>
                <w:szCs w:val="18"/>
              </w:rPr>
              <w:t>★</w:t>
            </w:r>
            <w:r>
              <w:rPr>
                <w:rFonts w:ascii="Times New Roman" w:hAnsi="Times New Roman"/>
                <w:sz w:val="18"/>
                <w:szCs w:val="18"/>
              </w:rPr>
              <w:t>甲醛释放量≤0.124mg/m3，</w:t>
            </w:r>
            <w:r>
              <w:rPr>
                <w:rFonts w:ascii="Segoe UI Symbol" w:hAnsi="Segoe UI Symbol" w:cs="Segoe UI Symbol"/>
                <w:sz w:val="18"/>
                <w:szCs w:val="18"/>
              </w:rPr>
              <w:t>★</w:t>
            </w:r>
            <w:r>
              <w:rPr>
                <w:rFonts w:ascii="Times New Roman" w:hAnsi="Times New Roman"/>
                <w:sz w:val="18"/>
                <w:szCs w:val="18"/>
              </w:rPr>
              <w:t>符合国家标准GB18580-2017和GB/T 15102-2017的要求。</w:t>
            </w:r>
          </w:p>
          <w:p>
            <w:pPr>
              <w:rPr>
                <w:sz w:val="18"/>
                <w:szCs w:val="18"/>
              </w:rPr>
            </w:pPr>
            <w:r>
              <w:rPr>
                <w:sz w:val="18"/>
                <w:szCs w:val="18"/>
              </w:rPr>
              <w:t>（2）封边：所有断面（不论外露与否）均采用厚度为2mm的优质PVC封边条，符合QB/T 4463-2013的要求，经机械全自动封边机配以热熔胶高温热熔封边，保证密封性，防止吸水、不膨胀。线条均匀整齐，转角过度顺畅，不变形，不开裂。一次性热压成型，进一步杜绝板材中甲醛分子的释放。</w:t>
            </w:r>
          </w:p>
          <w:p>
            <w:pPr>
              <w:rPr>
                <w:sz w:val="18"/>
                <w:szCs w:val="18"/>
              </w:rPr>
            </w:pPr>
            <w:r>
              <w:rPr>
                <w:sz w:val="18"/>
                <w:szCs w:val="18"/>
              </w:rPr>
              <w:t>（3）粘合剂：采用环保粘合剂，优于国家标准GB18583-2008。</w:t>
            </w:r>
          </w:p>
          <w:p>
            <w:pPr>
              <w:rPr>
                <w:sz w:val="18"/>
                <w:szCs w:val="18"/>
              </w:rPr>
            </w:pPr>
            <w:r>
              <w:rPr>
                <w:sz w:val="18"/>
                <w:szCs w:val="18"/>
              </w:rPr>
              <w:t>（4）油漆：所有油饰部分均采用优质品牌环保水性漆。</w:t>
            </w:r>
          </w:p>
          <w:p>
            <w:pPr>
              <w:rPr>
                <w:sz w:val="18"/>
                <w:szCs w:val="18"/>
              </w:rPr>
            </w:pPr>
            <w:r>
              <w:rPr>
                <w:sz w:val="18"/>
                <w:szCs w:val="18"/>
              </w:rPr>
              <w:t>（5）五金配件：</w:t>
            </w:r>
          </w:p>
          <w:p>
            <w:pPr>
              <w:rPr>
                <w:sz w:val="18"/>
                <w:szCs w:val="18"/>
              </w:rPr>
            </w:pPr>
            <w:r>
              <w:rPr>
                <w:sz w:val="18"/>
                <w:szCs w:val="18"/>
              </w:rPr>
              <w:t>阻尼铰链，推荐品牌：海福乐、百隆、FGV；</w:t>
            </w:r>
          </w:p>
          <w:p>
            <w:pPr>
              <w:rPr>
                <w:sz w:val="18"/>
                <w:szCs w:val="18"/>
              </w:rPr>
            </w:pPr>
            <w:r>
              <w:rPr>
                <w:sz w:val="18"/>
                <w:szCs w:val="18"/>
              </w:rPr>
              <w:t>三节轨推荐品牌：凯力、海蒂斯、博格维诗。</w:t>
            </w:r>
          </w:p>
          <w:p>
            <w:pPr>
              <w:rPr>
                <w:sz w:val="18"/>
                <w:szCs w:val="18"/>
              </w:rPr>
            </w:pPr>
            <w:r>
              <w:rPr>
                <w:sz w:val="18"/>
                <w:szCs w:val="18"/>
              </w:rPr>
              <w:t>所有板件均采用拆装式三合一连接件，符合国家标准GB28203-2011，可多次拆卸组装无损伤，利于搬迁。</w:t>
            </w:r>
          </w:p>
          <w:p>
            <w:pPr>
              <w:adjustRightInd w:val="0"/>
              <w:snapToGrid w:val="0"/>
              <w:rPr>
                <w:sz w:val="18"/>
                <w:szCs w:val="18"/>
              </w:rPr>
            </w:pPr>
            <w:r>
              <w:rPr>
                <w:sz w:val="18"/>
                <w:szCs w:val="18"/>
              </w:rPr>
              <w:t>教师转椅，真皮面料，人体工学椅，五星钢制脚，可升三段气压杆降，360度旋转。需要在投标文件中提供样品参考图片供选择。</w:t>
            </w:r>
          </w:p>
          <w:p>
            <w:pPr>
              <w:pStyle w:val="2"/>
              <w:spacing w:line="240" w:lineRule="auto"/>
              <w:ind w:firstLine="0" w:firstLineChars="0"/>
              <w:rPr>
                <w:rFonts w:ascii="Times New Roman" w:hAnsi="Times New Roman"/>
                <w:sz w:val="18"/>
                <w:szCs w:val="18"/>
                <w:lang w:val="en-US"/>
              </w:rPr>
            </w:pPr>
            <w:r>
              <w:rPr>
                <w:rFonts w:ascii="Times New Roman" w:hAnsi="Times New Roman"/>
                <w:sz w:val="18"/>
                <w:szCs w:val="18"/>
                <w:lang w:val="en-US"/>
              </w:rPr>
              <w:t>（推荐品牌：凯联、黑白调、欧曼达）</w:t>
            </w:r>
          </w:p>
          <w:p>
            <w:pPr>
              <w:adjustRightInd w:val="0"/>
              <w:snapToGrid w:val="0"/>
              <w:rPr>
                <w:sz w:val="18"/>
                <w:szCs w:val="18"/>
              </w:rPr>
            </w:pPr>
            <w:r>
              <w:rPr>
                <w:sz w:val="18"/>
                <w:szCs w:val="18"/>
              </w:rPr>
              <w:t>供货时提供E1级板材检测报告。</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套</w:t>
            </w:r>
          </w:p>
        </w:tc>
        <w:tc>
          <w:tcPr>
            <w:tcW w:w="992" w:type="dxa"/>
            <w:vAlign w:val="center"/>
          </w:tcPr>
          <w:p>
            <w:pPr>
              <w:adjustRightInd w:val="0"/>
              <w:snapToGrid w:val="0"/>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学生桌椅</w:t>
            </w:r>
          </w:p>
        </w:tc>
        <w:tc>
          <w:tcPr>
            <w:tcW w:w="5380" w:type="dxa"/>
            <w:vAlign w:val="center"/>
          </w:tcPr>
          <w:p>
            <w:pPr>
              <w:adjustRightInd w:val="0"/>
              <w:snapToGrid w:val="0"/>
              <w:jc w:val="left"/>
              <w:rPr>
                <w:sz w:val="18"/>
                <w:szCs w:val="18"/>
              </w:rPr>
            </w:pPr>
            <w:r>
              <w:rPr>
                <w:sz w:val="18"/>
                <w:szCs w:val="18"/>
              </w:rPr>
              <w:t>一、双联桌，单个桌子尺寸：长650mm*宽550mm*高750mm。板材：三聚氰胺板，防火板贴面，优质PVC封边，E1级板材，带周围及分隔挡板，外形美观，牢固可靠。</w:t>
            </w:r>
          </w:p>
          <w:p>
            <w:pPr>
              <w:pStyle w:val="2"/>
              <w:spacing w:line="240" w:lineRule="auto"/>
              <w:ind w:firstLine="0" w:firstLineChars="0"/>
              <w:rPr>
                <w:rFonts w:ascii="Times New Roman" w:hAnsi="Times New Roman"/>
                <w:sz w:val="18"/>
                <w:szCs w:val="18"/>
              </w:rPr>
            </w:pPr>
            <w:r>
              <w:rPr>
                <w:rFonts w:ascii="Times New Roman" w:hAnsi="Times New Roman"/>
                <w:sz w:val="18"/>
                <w:szCs w:val="18"/>
              </w:rPr>
              <w:t>（1）台面板：厚度为25mm，</w:t>
            </w:r>
            <w:r>
              <w:rPr>
                <w:rFonts w:ascii="Times New Roman" w:hAnsi="Times New Roman"/>
                <w:sz w:val="18"/>
                <w:szCs w:val="18"/>
                <w:lang w:val="en-US"/>
              </w:rPr>
              <w:t>柜体板：厚度为18mm，</w:t>
            </w:r>
            <w:r>
              <w:rPr>
                <w:rFonts w:ascii="Times New Roman" w:hAnsi="Times New Roman"/>
                <w:sz w:val="18"/>
                <w:szCs w:val="18"/>
              </w:rPr>
              <w:t xml:space="preserve"> E1级双贴面防火板，</w:t>
            </w:r>
            <w:r>
              <w:rPr>
                <w:rFonts w:ascii="Segoe UI Symbol" w:hAnsi="Segoe UI Symbol" w:cs="Segoe UI Symbol"/>
                <w:sz w:val="18"/>
                <w:szCs w:val="18"/>
              </w:rPr>
              <w:t>★</w:t>
            </w:r>
            <w:r>
              <w:rPr>
                <w:rFonts w:ascii="Times New Roman" w:hAnsi="Times New Roman"/>
                <w:sz w:val="18"/>
                <w:szCs w:val="18"/>
              </w:rPr>
              <w:t>甲醛释放量≤0.124mg/m3，</w:t>
            </w:r>
            <w:r>
              <w:rPr>
                <w:rFonts w:ascii="Segoe UI Symbol" w:hAnsi="Segoe UI Symbol" w:cs="Segoe UI Symbol"/>
                <w:sz w:val="18"/>
                <w:szCs w:val="18"/>
              </w:rPr>
              <w:t>★</w:t>
            </w:r>
            <w:r>
              <w:rPr>
                <w:rFonts w:ascii="Times New Roman" w:hAnsi="Times New Roman"/>
                <w:sz w:val="18"/>
                <w:szCs w:val="18"/>
              </w:rPr>
              <w:t>符合国家标准GB18580-2017和GB/T 15102-2017的要求。</w:t>
            </w:r>
          </w:p>
          <w:p>
            <w:pPr>
              <w:rPr>
                <w:sz w:val="18"/>
                <w:szCs w:val="18"/>
              </w:rPr>
            </w:pPr>
            <w:r>
              <w:rPr>
                <w:sz w:val="18"/>
                <w:szCs w:val="18"/>
              </w:rPr>
              <w:t>（2）封边：所有断面（不论外露与否）均采用厚度为2mm的优质PVC封边条，符合QB/T 4463-2013的要求，经机械全自动封边机配以热熔胶高温热熔封边，保证密封性，防止吸水、不膨胀。线条均匀整齐，转角过度顺畅，不变形，不开裂。一次性热压成型，进一步杜绝板材中甲醛分子的释放。</w:t>
            </w:r>
          </w:p>
          <w:p>
            <w:pPr>
              <w:rPr>
                <w:sz w:val="18"/>
                <w:szCs w:val="18"/>
              </w:rPr>
            </w:pPr>
            <w:r>
              <w:rPr>
                <w:sz w:val="18"/>
                <w:szCs w:val="18"/>
              </w:rPr>
              <w:t>（3）粘合剂：采用环保粘合剂，优于国家标准GB18583-2008。</w:t>
            </w:r>
          </w:p>
          <w:p>
            <w:pPr>
              <w:rPr>
                <w:sz w:val="18"/>
                <w:szCs w:val="18"/>
              </w:rPr>
            </w:pPr>
            <w:r>
              <w:rPr>
                <w:sz w:val="18"/>
                <w:szCs w:val="18"/>
              </w:rPr>
              <w:t>（4）油漆：所有油饰部分均采用优质品牌环保水性漆。</w:t>
            </w:r>
          </w:p>
          <w:p>
            <w:pPr>
              <w:rPr>
                <w:sz w:val="18"/>
                <w:szCs w:val="18"/>
              </w:rPr>
            </w:pPr>
            <w:r>
              <w:rPr>
                <w:sz w:val="18"/>
                <w:szCs w:val="18"/>
              </w:rPr>
              <w:t>（5）五金配件：</w:t>
            </w:r>
          </w:p>
          <w:p>
            <w:pPr>
              <w:rPr>
                <w:sz w:val="18"/>
                <w:szCs w:val="18"/>
              </w:rPr>
            </w:pPr>
            <w:r>
              <w:rPr>
                <w:sz w:val="18"/>
                <w:szCs w:val="18"/>
              </w:rPr>
              <w:t>三节轨推荐品牌：凯力、海蒂斯、博格维诗。</w:t>
            </w:r>
          </w:p>
          <w:p>
            <w:pPr>
              <w:rPr>
                <w:sz w:val="18"/>
                <w:szCs w:val="18"/>
              </w:rPr>
            </w:pPr>
            <w:r>
              <w:rPr>
                <w:sz w:val="18"/>
                <w:szCs w:val="18"/>
              </w:rPr>
              <w:t>所有板件均采用拆装式三合一连接件，符合国家标准GB28203-2011，可多次拆卸组装无损伤，利于搬迁。</w:t>
            </w:r>
          </w:p>
          <w:p>
            <w:pPr>
              <w:pStyle w:val="2"/>
              <w:spacing w:line="240" w:lineRule="auto"/>
              <w:ind w:firstLine="0" w:firstLineChars="0"/>
              <w:rPr>
                <w:rFonts w:ascii="Times New Roman" w:hAnsi="Times New Roman"/>
                <w:sz w:val="18"/>
                <w:szCs w:val="18"/>
                <w:lang w:val="en-US"/>
              </w:rPr>
            </w:pPr>
            <w:r>
              <w:rPr>
                <w:rFonts w:ascii="Times New Roman" w:hAnsi="Times New Roman"/>
                <w:sz w:val="18"/>
                <w:szCs w:val="18"/>
                <w:lang w:val="en-US"/>
              </w:rPr>
              <w:t>二、学生钢木方凳，340*240*450mm，凳面PVA三聚氰胺板，25*25mm 304不锈钢凳架，凳面加强。</w:t>
            </w:r>
          </w:p>
          <w:p>
            <w:pPr>
              <w:adjustRightInd w:val="0"/>
              <w:snapToGrid w:val="0"/>
              <w:jc w:val="left"/>
              <w:rPr>
                <w:sz w:val="18"/>
                <w:szCs w:val="18"/>
              </w:rPr>
            </w:pPr>
            <w:r>
              <w:rPr>
                <w:sz w:val="18"/>
                <w:szCs w:val="18"/>
              </w:rPr>
              <w:t>需在投标文件中提供样品参考图片供选择。</w:t>
            </w:r>
          </w:p>
          <w:p>
            <w:pPr>
              <w:adjustRightInd w:val="0"/>
              <w:snapToGrid w:val="0"/>
              <w:jc w:val="left"/>
              <w:rPr>
                <w:rFonts w:ascii="Times New Roman" w:hAnsi="Times New Roman"/>
                <w:sz w:val="18"/>
                <w:szCs w:val="18"/>
                <w:lang w:val="en-US"/>
              </w:rPr>
            </w:pPr>
            <w:r>
              <w:rPr>
                <w:sz w:val="18"/>
                <w:szCs w:val="18"/>
              </w:rPr>
              <w:t>供货时提供E1级板材检测报告。</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套</w:t>
            </w:r>
          </w:p>
        </w:tc>
        <w:tc>
          <w:tcPr>
            <w:tcW w:w="992" w:type="dxa"/>
            <w:vAlign w:val="center"/>
          </w:tcPr>
          <w:p>
            <w:pPr>
              <w:adjustRightInd w:val="0"/>
              <w:snapToGrid w:val="0"/>
              <w:jc w:val="center"/>
              <w:rPr>
                <w:sz w:val="18"/>
                <w:szCs w:val="18"/>
              </w:rPr>
            </w:pPr>
            <w:r>
              <w:rPr>
                <w:sz w:val="18"/>
                <w:szCs w:val="18"/>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网络施工</w:t>
            </w:r>
          </w:p>
        </w:tc>
        <w:tc>
          <w:tcPr>
            <w:tcW w:w="5380" w:type="dxa"/>
            <w:vAlign w:val="center"/>
          </w:tcPr>
          <w:p>
            <w:pPr>
              <w:adjustRightInd w:val="0"/>
              <w:snapToGrid w:val="0"/>
              <w:jc w:val="left"/>
              <w:rPr>
                <w:sz w:val="18"/>
                <w:szCs w:val="18"/>
              </w:rPr>
            </w:pPr>
            <w:r>
              <w:rPr>
                <w:sz w:val="18"/>
                <w:szCs w:val="18"/>
              </w:rPr>
              <w:t>符合国家和行业网络施工质量标准，布设线槽须强弱电分离，走线合理互不交叉；</w:t>
            </w:r>
          </w:p>
          <w:p>
            <w:pPr>
              <w:adjustRightInd w:val="0"/>
              <w:snapToGrid w:val="0"/>
              <w:jc w:val="left"/>
              <w:rPr>
                <w:sz w:val="18"/>
                <w:szCs w:val="18"/>
              </w:rPr>
            </w:pPr>
            <w:r>
              <w:rPr>
                <w:sz w:val="18"/>
                <w:szCs w:val="18"/>
              </w:rPr>
              <w:t>提供6类网线和6类水晶头；</w:t>
            </w:r>
          </w:p>
          <w:p>
            <w:pPr>
              <w:adjustRightInd w:val="0"/>
              <w:snapToGrid w:val="0"/>
              <w:jc w:val="left"/>
              <w:rPr>
                <w:sz w:val="18"/>
                <w:szCs w:val="18"/>
              </w:rPr>
            </w:pPr>
            <w:r>
              <w:rPr>
                <w:sz w:val="18"/>
                <w:szCs w:val="18"/>
              </w:rPr>
              <w:t>提供品牌电源插座。</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点</w:t>
            </w:r>
          </w:p>
        </w:tc>
        <w:tc>
          <w:tcPr>
            <w:tcW w:w="992" w:type="dxa"/>
            <w:vAlign w:val="center"/>
          </w:tcPr>
          <w:p>
            <w:pPr>
              <w:adjustRightInd w:val="0"/>
              <w:snapToGrid w:val="0"/>
              <w:jc w:val="center"/>
              <w:rPr>
                <w:sz w:val="18"/>
                <w:szCs w:val="18"/>
              </w:rPr>
            </w:pPr>
            <w:r>
              <w:rPr>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8" w:type="dxa"/>
            <w:vAlign w:val="center"/>
          </w:tcPr>
          <w:p>
            <w:pPr>
              <w:adjustRightInd w:val="0"/>
              <w:snapToGrid w:val="0"/>
              <w:jc w:val="center"/>
              <w:rPr>
                <w:rFonts w:ascii="宋体" w:hAnsi="宋体"/>
                <w:sz w:val="18"/>
                <w:szCs w:val="18"/>
              </w:rPr>
            </w:pPr>
            <w:r>
              <w:rPr>
                <w:rFonts w:hint="eastAsia" w:ascii="宋体" w:hAnsi="宋体"/>
                <w:sz w:val="18"/>
                <w:szCs w:val="18"/>
              </w:rPr>
              <w:t>防静电地板</w:t>
            </w:r>
          </w:p>
        </w:tc>
        <w:tc>
          <w:tcPr>
            <w:tcW w:w="5380" w:type="dxa"/>
            <w:vAlign w:val="center"/>
          </w:tcPr>
          <w:p>
            <w:pPr>
              <w:adjustRightInd w:val="0"/>
              <w:snapToGrid w:val="0"/>
              <w:jc w:val="left"/>
              <w:rPr>
                <w:sz w:val="18"/>
                <w:szCs w:val="18"/>
              </w:rPr>
            </w:pPr>
            <w:r>
              <w:rPr>
                <w:sz w:val="18"/>
                <w:szCs w:val="18"/>
              </w:rPr>
              <w:t>全屋铺设全钢防静电活动地板，优质合金冷扎钢板，拉伸后点焊成形。外表磷化喷塑处理，内腔填充发泡水泥，上表面粘贴高耐磨麻面防静电三聚氢胶贴面(HPL)或PVC贴面，四周镶嵌导电边条。产品规格：60×60×3.5cm；贴面厚度：上板0.7mm；下板0.6mm。</w:t>
            </w:r>
          </w:p>
          <w:p>
            <w:pPr>
              <w:pStyle w:val="2"/>
              <w:spacing w:line="240" w:lineRule="auto"/>
              <w:ind w:firstLine="0" w:firstLineChars="0"/>
              <w:rPr>
                <w:rFonts w:ascii="Times New Roman" w:hAnsi="Times New Roman"/>
                <w:sz w:val="18"/>
                <w:szCs w:val="18"/>
                <w:lang w:val="en-US"/>
              </w:rPr>
            </w:pPr>
            <w:r>
              <w:rPr>
                <w:rFonts w:ascii="Times New Roman" w:hAnsi="Times New Roman"/>
                <w:sz w:val="18"/>
                <w:szCs w:val="18"/>
                <w:lang w:val="en-US"/>
              </w:rPr>
              <w:t>（推荐品牌：远川，立品，华晶）</w:t>
            </w:r>
          </w:p>
        </w:tc>
        <w:tc>
          <w:tcPr>
            <w:tcW w:w="843" w:type="dxa"/>
            <w:vAlign w:val="center"/>
          </w:tcPr>
          <w:p>
            <w:pPr>
              <w:adjustRightInd w:val="0"/>
              <w:snapToGrid w:val="0"/>
              <w:jc w:val="center"/>
              <w:rPr>
                <w:rFonts w:ascii="宋体" w:hAnsi="宋体"/>
                <w:sz w:val="18"/>
                <w:szCs w:val="18"/>
              </w:rPr>
            </w:pPr>
            <w:r>
              <w:rPr>
                <w:rFonts w:hint="eastAsia" w:ascii="宋体" w:hAnsi="宋体"/>
                <w:sz w:val="18"/>
                <w:szCs w:val="18"/>
              </w:rPr>
              <w:t>平方</w:t>
            </w:r>
          </w:p>
        </w:tc>
        <w:tc>
          <w:tcPr>
            <w:tcW w:w="992" w:type="dxa"/>
            <w:vAlign w:val="center"/>
          </w:tcPr>
          <w:p>
            <w:pPr>
              <w:adjustRightInd w:val="0"/>
              <w:snapToGrid w:val="0"/>
              <w:jc w:val="center"/>
              <w:rPr>
                <w:sz w:val="18"/>
                <w:szCs w:val="18"/>
              </w:rPr>
            </w:pPr>
            <w:r>
              <w:rPr>
                <w:sz w:val="18"/>
                <w:szCs w:val="18"/>
              </w:rPr>
              <w:t>70</w:t>
            </w:r>
          </w:p>
        </w:tc>
      </w:tr>
    </w:tbl>
    <w:p>
      <w:pPr>
        <w:spacing w:line="400" w:lineRule="exact"/>
        <w:ind w:left="470"/>
        <w:rPr>
          <w:rFonts w:eastAsiaTheme="minorEastAsia"/>
          <w:color w:val="000000" w:themeColor="text1"/>
          <w:sz w:val="24"/>
          <w:szCs w:val="24"/>
          <w:lang w:val="zh-CN"/>
          <w14:textFill>
            <w14:solidFill>
              <w14:schemeClr w14:val="tx1"/>
            </w14:solidFill>
          </w14:textFill>
        </w:rPr>
      </w:pPr>
    </w:p>
    <w:p>
      <w:pPr>
        <w:spacing w:line="400" w:lineRule="exact"/>
        <w:ind w:left="470"/>
        <w:rPr>
          <w:rFonts w:eastAsiaTheme="minorEastAsia"/>
          <w:color w:val="000000" w:themeColor="text1"/>
          <w:sz w:val="24"/>
          <w:szCs w:val="24"/>
          <w:lang w:val="zh-CN"/>
          <w14:textFill>
            <w14:solidFill>
              <w14:schemeClr w14:val="tx1"/>
            </w14:solidFill>
          </w14:textFill>
        </w:rPr>
      </w:pPr>
      <w:r>
        <w:rPr>
          <w:rFonts w:eastAsiaTheme="minorEastAsia"/>
          <w:color w:val="000000" w:themeColor="text1"/>
          <w:sz w:val="24"/>
          <w:szCs w:val="24"/>
          <w:lang w:val="zh-CN"/>
          <w14:textFill>
            <w14:solidFill>
              <w14:schemeClr w14:val="tx1"/>
            </w14:solidFill>
          </w14:textFill>
        </w:rPr>
        <w:t>二、技术参数与性能要求</w:t>
      </w:r>
    </w:p>
    <w:p>
      <w:pPr>
        <w:widowControl/>
        <w:shd w:val="clear" w:color="auto" w:fill="FFFFFF"/>
        <w:spacing w:line="400" w:lineRule="exact"/>
        <w:ind w:firstLine="440"/>
        <w:jc w:val="left"/>
        <w:rPr>
          <w:rFonts w:eastAsiaTheme="minorEastAsia"/>
          <w:sz w:val="24"/>
          <w:szCs w:val="24"/>
        </w:rPr>
      </w:pPr>
      <w:r>
        <w:rPr>
          <w:rFonts w:ascii="Segoe UI Symbol" w:hAnsi="Segoe UI Symbol" w:cs="Segoe UI Symbol" w:eastAsiaTheme="minorEastAsia"/>
          <w:sz w:val="24"/>
          <w:szCs w:val="24"/>
        </w:rPr>
        <w:t>★</w:t>
      </w:r>
      <w:r>
        <w:rPr>
          <w:rFonts w:eastAsiaTheme="minorEastAsia"/>
          <w:sz w:val="24"/>
          <w:szCs w:val="24"/>
        </w:rPr>
        <w:t>为保证软硬件兼容性和便于后期统一维护，语言实验室软件、云桌面管理软件为同一品牌。</w:t>
      </w:r>
    </w:p>
    <w:p>
      <w:pPr>
        <w:widowControl/>
        <w:shd w:val="clear" w:color="auto" w:fill="FFFFFF"/>
        <w:spacing w:line="400" w:lineRule="exact"/>
        <w:ind w:firstLine="440"/>
        <w:jc w:val="left"/>
        <w:rPr>
          <w:rFonts w:eastAsiaTheme="minorEastAsia"/>
          <w:sz w:val="24"/>
          <w:szCs w:val="24"/>
        </w:rPr>
      </w:pPr>
      <w:r>
        <w:rPr>
          <w:rFonts w:ascii="Segoe UI Symbol" w:hAnsi="Segoe UI Symbol" w:cs="Segoe UI Symbol" w:eastAsiaTheme="minorEastAsia"/>
          <w:color w:val="000000"/>
          <w:sz w:val="24"/>
          <w:szCs w:val="24"/>
        </w:rPr>
        <w:t>★</w:t>
      </w:r>
      <w:r>
        <w:rPr>
          <w:rFonts w:eastAsiaTheme="minorEastAsia"/>
          <w:color w:val="000000"/>
          <w:sz w:val="24"/>
          <w:szCs w:val="24"/>
        </w:rPr>
        <w:t>系统构建：语言实验室的系统架构：教师主控</w:t>
      </w:r>
      <w:r>
        <w:rPr>
          <w:rFonts w:hint="eastAsia" w:eastAsiaTheme="minorEastAsia"/>
          <w:color w:val="000000"/>
          <w:sz w:val="24"/>
          <w:szCs w:val="24"/>
        </w:rPr>
        <w:t>计算机</w:t>
      </w:r>
      <w:r>
        <w:rPr>
          <w:rFonts w:eastAsiaTheme="minorEastAsia"/>
          <w:color w:val="000000"/>
          <w:sz w:val="24"/>
          <w:szCs w:val="24"/>
        </w:rPr>
        <w:t>+系统教学软件+云</w:t>
      </w:r>
      <w:r>
        <w:rPr>
          <w:rFonts w:hint="eastAsia" w:eastAsiaTheme="minorEastAsia"/>
          <w:color w:val="000000"/>
          <w:sz w:val="24"/>
          <w:szCs w:val="24"/>
        </w:rPr>
        <w:t>桌面管理软件</w:t>
      </w:r>
      <w:r>
        <w:rPr>
          <w:rFonts w:eastAsiaTheme="minorEastAsia"/>
          <w:color w:val="000000"/>
          <w:sz w:val="24"/>
          <w:szCs w:val="24"/>
        </w:rPr>
        <w:t>+学生</w:t>
      </w:r>
      <w:r>
        <w:rPr>
          <w:rFonts w:hint="eastAsia" w:eastAsiaTheme="minorEastAsia"/>
          <w:color w:val="000000"/>
          <w:sz w:val="24"/>
          <w:szCs w:val="24"/>
        </w:rPr>
        <w:t>计算机+录课系统。</w:t>
      </w:r>
    </w:p>
    <w:p>
      <w:pPr>
        <w:spacing w:line="400" w:lineRule="exact"/>
        <w:ind w:firstLine="480" w:firstLineChars="200"/>
        <w:rPr>
          <w:rFonts w:eastAsiaTheme="minorEastAsia"/>
          <w:color w:val="000000" w:themeColor="text1"/>
          <w:sz w:val="24"/>
          <w:szCs w:val="24"/>
          <w:lang w:val="zh-CN"/>
          <w14:textFill>
            <w14:solidFill>
              <w14:schemeClr w14:val="tx1"/>
            </w14:solidFill>
          </w14:textFill>
        </w:rPr>
      </w:pPr>
      <w:r>
        <w:rPr>
          <w:rFonts w:eastAsiaTheme="minorEastAsia"/>
          <w:color w:val="000000" w:themeColor="text1"/>
          <w:sz w:val="24"/>
          <w:szCs w:val="24"/>
          <w:lang w:val="zh-CN"/>
          <w14:textFill>
            <w14:solidFill>
              <w14:schemeClr w14:val="tx1"/>
            </w14:solidFill>
          </w14:textFill>
        </w:rPr>
        <w:t>备注：投标产品必须是全新、未使用过的原装合格正品，符合招标文件的要求，达到国家、行业规定的通用标准和强制标准，属于国家强制认证的产品的必须通过认证。</w:t>
      </w:r>
      <w:r>
        <w:rPr>
          <w:rFonts w:eastAsiaTheme="minorEastAsia"/>
          <w:color w:val="000000" w:themeColor="text1"/>
          <w:sz w:val="24"/>
          <w:szCs w:val="24"/>
          <w14:textFill>
            <w14:solidFill>
              <w14:schemeClr w14:val="tx1"/>
            </w14:solidFill>
          </w14:textFill>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标</w:t>
      </w:r>
      <w:r>
        <w:rPr>
          <w:rFonts w:ascii="Segoe UI Symbol" w:hAnsi="Segoe UI Symbol" w:cs="Segoe UI Symbol"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的为核心指标。</w:t>
      </w:r>
    </w:p>
    <w:p>
      <w:pPr>
        <w:spacing w:line="400" w:lineRule="exact"/>
        <w:ind w:firstLine="480" w:firstLineChars="200"/>
        <w:rPr>
          <w:rFonts w:eastAsiaTheme="minorEastAsia"/>
          <w:color w:val="000000" w:themeColor="text1"/>
          <w:sz w:val="24"/>
          <w:szCs w:val="24"/>
          <w14:textFill>
            <w14:solidFill>
              <w14:schemeClr w14:val="tx1"/>
            </w14:solidFill>
          </w14:textFill>
        </w:rPr>
      </w:pPr>
      <w:r>
        <w:rPr>
          <w:rFonts w:ascii="Segoe UI Symbol" w:hAnsi="Segoe UI Symbol" w:cs="Segoe UI Symbol"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三、质保时间</w:t>
      </w:r>
    </w:p>
    <w:p>
      <w:pPr>
        <w:spacing w:line="400" w:lineRule="exact"/>
        <w:ind w:firstLine="480" w:firstLineChars="200"/>
        <w:rPr>
          <w:rFonts w:eastAsiaTheme="minorEastAsia"/>
          <w:color w:val="000000" w:themeColor="text1"/>
          <w:sz w:val="24"/>
          <w:szCs w:val="24"/>
          <w14:textFill>
            <w14:solidFill>
              <w14:schemeClr w14:val="tx1"/>
            </w14:solidFill>
          </w14:textFill>
        </w:rPr>
      </w:pPr>
      <w:r>
        <w:rPr>
          <w:rFonts w:eastAsiaTheme="minorEastAsia"/>
          <w:color w:val="000000" w:themeColor="text1"/>
          <w:sz w:val="24"/>
          <w:szCs w:val="24"/>
          <w14:textFill>
            <w14:solidFill>
              <w14:schemeClr w14:val="tx1"/>
            </w14:solidFill>
          </w14:textFill>
        </w:rPr>
        <w:t>从设备验收合格之日起，提供不少于</w:t>
      </w:r>
      <w:r>
        <w:rPr>
          <w:rFonts w:eastAsiaTheme="minorEastAsia"/>
          <w:color w:val="000000"/>
          <w:sz w:val="24"/>
          <w:szCs w:val="24"/>
        </w:rPr>
        <w:t>三年</w:t>
      </w:r>
      <w:r>
        <w:rPr>
          <w:rFonts w:eastAsiaTheme="minorEastAsia"/>
          <w:color w:val="000000" w:themeColor="text1"/>
          <w:sz w:val="24"/>
          <w:szCs w:val="24"/>
          <w14:textFill>
            <w14:solidFill>
              <w14:schemeClr w14:val="tx1"/>
            </w14:solidFill>
          </w14:textFill>
        </w:rPr>
        <w:t>的产品免费整体质保期和售后服务（否则为无效投标），在保修期内产品如有质量问题，卖方为买方提供免费维修及更换配件。</w:t>
      </w:r>
    </w:p>
    <w:p>
      <w:pPr>
        <w:pStyle w:val="2"/>
        <w:spacing w:line="400" w:lineRule="exact"/>
        <w:rPr>
          <w:rFonts w:ascii="Times New Roman" w:hAnsi="Times New Roman" w:eastAsiaTheme="minorEastAsia"/>
          <w:szCs w:val="24"/>
          <w:lang w:val="en-US"/>
        </w:rPr>
      </w:pPr>
      <w:r>
        <w:rPr>
          <w:rFonts w:ascii="Times New Roman" w:hAnsi="Times New Roman" w:eastAsiaTheme="minorEastAsia"/>
          <w:color w:val="000000"/>
          <w:szCs w:val="24"/>
        </w:rPr>
        <w:t>软件终身免费升级。</w:t>
      </w:r>
    </w:p>
    <w:p>
      <w:pPr>
        <w:spacing w:line="400" w:lineRule="exact"/>
        <w:ind w:firstLine="480" w:firstLineChars="200"/>
        <w:rPr>
          <w:rFonts w:eastAsiaTheme="minorEastAsia"/>
          <w:color w:val="000000" w:themeColor="text1"/>
          <w:sz w:val="24"/>
          <w:szCs w:val="24"/>
          <w14:textFill>
            <w14:solidFill>
              <w14:schemeClr w14:val="tx1"/>
            </w14:solidFill>
          </w14:textFill>
        </w:rPr>
      </w:pPr>
      <w:r>
        <w:rPr>
          <w:rFonts w:ascii="Segoe UI Symbol" w:hAnsi="Segoe UI Symbol" w:cs="Segoe UI Symbol"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四、售后服务要求</w:t>
      </w:r>
    </w:p>
    <w:p>
      <w:pPr>
        <w:pStyle w:val="12"/>
        <w:spacing w:before="46" w:beforeAutospacing="0" w:after="46" w:afterAutospacing="0" w:line="400" w:lineRule="exact"/>
        <w:ind w:right="362" w:firstLine="420"/>
        <w:jc w:val="both"/>
        <w:rPr>
          <w:rFonts w:ascii="Times New Roman" w:hAnsi="Times New Roman" w:eastAsiaTheme="minorEastAsia"/>
        </w:rPr>
      </w:pPr>
      <w:r>
        <w:rPr>
          <w:rFonts w:ascii="Times New Roman" w:hAnsi="Times New Roman" w:eastAsiaTheme="minorEastAsia"/>
        </w:rPr>
        <w:t>1、提供网络、电话及EMAIL等远程服务，响应时间不超过1小时。若远程服务无法解决问题的，供应商须承诺24小时内提供免费现场服务。</w:t>
      </w:r>
    </w:p>
    <w:p>
      <w:pPr>
        <w:pStyle w:val="12"/>
        <w:spacing w:before="46" w:beforeAutospacing="0" w:after="46" w:afterAutospacing="0" w:line="400" w:lineRule="exact"/>
        <w:ind w:right="362" w:firstLine="420"/>
        <w:jc w:val="both"/>
        <w:rPr>
          <w:rFonts w:ascii="Times New Roman" w:hAnsi="Times New Roman" w:eastAsiaTheme="minorEastAsia"/>
        </w:rPr>
      </w:pPr>
      <w:r>
        <w:rPr>
          <w:rFonts w:ascii="Times New Roman" w:hAnsi="Times New Roman" w:eastAsiaTheme="minorEastAsia"/>
        </w:rPr>
        <w:t>2、在使用过程中，无论任何原因导致的数据库异常或无法使用的情况，均由供应商提供免费维护服务。</w:t>
      </w:r>
    </w:p>
    <w:p>
      <w:pPr>
        <w:spacing w:line="400" w:lineRule="exact"/>
        <w:ind w:firstLine="480" w:firstLineChars="200"/>
        <w:rPr>
          <w:rFonts w:eastAsiaTheme="minorEastAsia"/>
          <w:color w:val="000000" w:themeColor="text1"/>
          <w:sz w:val="24"/>
          <w:szCs w:val="24"/>
          <w14:textFill>
            <w14:solidFill>
              <w14:schemeClr w14:val="tx1"/>
            </w14:solidFill>
          </w14:textFill>
        </w:rPr>
      </w:pPr>
      <w:r>
        <w:rPr>
          <w:rFonts w:ascii="Segoe UI Symbol" w:hAnsi="Segoe UI Symbol" w:cs="Segoe UI Symbol" w:eastAsiaTheme="minorEastAsia"/>
          <w:color w:val="000000" w:themeColor="text1"/>
          <w:sz w:val="24"/>
          <w:szCs w:val="24"/>
          <w14:textFill>
            <w14:solidFill>
              <w14:schemeClr w14:val="tx1"/>
            </w14:solidFill>
          </w14:textFill>
        </w:rPr>
        <w:t>★</w:t>
      </w:r>
      <w:r>
        <w:rPr>
          <w:rFonts w:eastAsiaTheme="minorEastAsia"/>
          <w:color w:val="000000" w:themeColor="text1"/>
          <w:sz w:val="24"/>
          <w:szCs w:val="24"/>
          <w14:textFill>
            <w14:solidFill>
              <w14:schemeClr w14:val="tx1"/>
            </w14:solidFill>
          </w14:textFill>
        </w:rPr>
        <w:t>五、商务要求</w:t>
      </w:r>
    </w:p>
    <w:p>
      <w:pPr>
        <w:spacing w:line="400" w:lineRule="exact"/>
        <w:ind w:firstLine="480" w:firstLineChars="200"/>
        <w:rPr>
          <w:rFonts w:eastAsiaTheme="minorEastAsia"/>
          <w:color w:val="000000"/>
          <w:sz w:val="24"/>
          <w:szCs w:val="24"/>
          <w:lang w:val="zh-CN"/>
        </w:rPr>
      </w:pPr>
      <w:r>
        <w:rPr>
          <w:rFonts w:eastAsiaTheme="minorEastAsia"/>
          <w:color w:val="000000"/>
          <w:sz w:val="24"/>
          <w:szCs w:val="24"/>
          <w:lang w:val="zh-CN"/>
        </w:rPr>
        <w:t>1.供货时间:合同签订后 30 日内供货安装调试到位。</w:t>
      </w:r>
    </w:p>
    <w:p>
      <w:pPr>
        <w:spacing w:line="400" w:lineRule="exact"/>
        <w:ind w:firstLine="480" w:firstLineChars="200"/>
        <w:rPr>
          <w:rFonts w:eastAsiaTheme="minorEastAsia"/>
          <w:color w:val="000000"/>
          <w:sz w:val="24"/>
          <w:szCs w:val="24"/>
          <w:lang w:val="zh-CN"/>
        </w:rPr>
      </w:pPr>
      <w:r>
        <w:rPr>
          <w:rFonts w:eastAsiaTheme="minorEastAsia"/>
          <w:color w:val="000000"/>
          <w:sz w:val="24"/>
          <w:szCs w:val="24"/>
          <w:lang w:val="zh-CN"/>
        </w:rPr>
        <w:t>2.供货地点:</w:t>
      </w:r>
      <w:r>
        <w:rPr>
          <w:rFonts w:eastAsiaTheme="minorEastAsia"/>
          <w:sz w:val="24"/>
          <w:szCs w:val="24"/>
        </w:rPr>
        <w:t xml:space="preserve"> 江苏省淮安市北京北路89号，淮阴工学院外国语学院</w:t>
      </w:r>
    </w:p>
    <w:p>
      <w:pPr>
        <w:spacing w:line="400" w:lineRule="exact"/>
        <w:ind w:firstLine="480" w:firstLineChars="200"/>
        <w:rPr>
          <w:rFonts w:eastAsiaTheme="minorEastAsia"/>
          <w:color w:val="000000" w:themeColor="text1"/>
          <w:sz w:val="24"/>
          <w:szCs w:val="24"/>
          <w:lang w:val="zh-CN"/>
          <w14:textFill>
            <w14:solidFill>
              <w14:schemeClr w14:val="tx1"/>
            </w14:solidFill>
          </w14:textFill>
        </w:rPr>
      </w:pPr>
      <w:r>
        <w:rPr>
          <w:rFonts w:eastAsiaTheme="minorEastAsia"/>
          <w:color w:val="000000" w:themeColor="text1"/>
          <w:sz w:val="24"/>
          <w:szCs w:val="24"/>
          <w:lang w:val="zh-CN"/>
          <w14:textFill>
            <w14:solidFill>
              <w14:schemeClr w14:val="tx1"/>
            </w14:solidFill>
          </w14:textFill>
        </w:rPr>
        <w:t>3.付款方式: 合同期内货到采购人安装、调试完毕，验收合格后，付到合同款的95%；余下5%合同款作为质量保证金，待一年后使用无质量及售后服务等问题后结清余款（不计息）；如有质量问题，不能及时更换或不能及时维保到位，尾款不予支付</w:t>
      </w:r>
      <w:r>
        <w:rPr>
          <w:rFonts w:eastAsiaTheme="minorEastAsia"/>
          <w:color w:val="000000" w:themeColor="text1"/>
          <w:sz w:val="24"/>
          <w:szCs w:val="24"/>
          <w14:textFill>
            <w14:solidFill>
              <w14:schemeClr w14:val="tx1"/>
            </w14:solidFill>
          </w14:textFill>
        </w:rPr>
        <w:t>并按合同追究赔偿等责任</w:t>
      </w:r>
      <w:r>
        <w:rPr>
          <w:rFonts w:eastAsiaTheme="minorEastAsia"/>
          <w:color w:val="000000" w:themeColor="text1"/>
          <w:sz w:val="24"/>
          <w:szCs w:val="24"/>
          <w:lang w:val="zh-CN"/>
          <w14:textFill>
            <w14:solidFill>
              <w14:schemeClr w14:val="tx1"/>
            </w14:solidFill>
          </w14:textFill>
        </w:rPr>
        <w:t>。如验收不合格以及发现伪劣产品等，采购人将视其情况，采取退货、拒付货款、索赔等措施，直至向质量技术监督主管部门报告，依法处理。</w:t>
      </w:r>
      <w:r>
        <w:rPr>
          <w:rFonts w:eastAsiaTheme="minorEastAsia"/>
          <w:sz w:val="24"/>
          <w:szCs w:val="24"/>
        </w:rPr>
        <w:t>具体付款方式可以在签订合同时由双方协商。</w:t>
      </w:r>
    </w:p>
    <w:p>
      <w:pPr>
        <w:pStyle w:val="38"/>
        <w:spacing w:line="400" w:lineRule="exact"/>
        <w:ind w:firstLine="480"/>
        <w:rPr>
          <w:rFonts w:eastAsiaTheme="minorEastAsia"/>
          <w:sz w:val="24"/>
          <w:szCs w:val="24"/>
        </w:rPr>
      </w:pPr>
      <w:r>
        <w:rPr>
          <w:rFonts w:eastAsiaTheme="minorEastAsia"/>
          <w:sz w:val="24"/>
          <w:szCs w:val="24"/>
        </w:rPr>
        <w:t>六、其他</w:t>
      </w:r>
    </w:p>
    <w:p>
      <w:pPr>
        <w:spacing w:line="400" w:lineRule="exact"/>
        <w:ind w:firstLine="480" w:firstLineChars="200"/>
        <w:rPr>
          <w:rFonts w:eastAsiaTheme="minorEastAsia"/>
          <w:color w:val="000000"/>
          <w:sz w:val="24"/>
          <w:szCs w:val="24"/>
        </w:rPr>
      </w:pPr>
      <w:r>
        <w:rPr>
          <w:rFonts w:eastAsiaTheme="minorEastAsia"/>
          <w:color w:val="000000"/>
          <w:sz w:val="24"/>
          <w:szCs w:val="24"/>
        </w:rPr>
        <w:t>需提供对应设备的相关资料及给予相关人员的培训。</w:t>
      </w:r>
    </w:p>
    <w:p>
      <w:pPr>
        <w:spacing w:line="400" w:lineRule="exact"/>
        <w:ind w:firstLine="480" w:firstLineChars="200"/>
        <w:jc w:val="center"/>
        <w:rPr>
          <w:rFonts w:ascii="方正小标宋简体" w:eastAsia="方正小标宋简体"/>
          <w:color w:val="000000" w:themeColor="text1"/>
          <w:spacing w:val="4"/>
          <w:sz w:val="36"/>
          <w:szCs w:val="36"/>
          <w14:textFill>
            <w14:solidFill>
              <w14:schemeClr w14:val="tx1"/>
            </w14:solidFill>
          </w14:textFill>
        </w:rPr>
      </w:pPr>
      <w:r>
        <w:rPr>
          <w:rFonts w:eastAsiaTheme="minorEastAsia"/>
          <w:color w:val="000000"/>
          <w:sz w:val="24"/>
          <w:szCs w:val="24"/>
        </w:rPr>
        <w:br w:type="page"/>
      </w:r>
      <w:r>
        <w:rPr>
          <w:rFonts w:hint="eastAsia" w:ascii="方正小标宋简体" w:eastAsia="方正小标宋简体"/>
          <w:color w:val="000000" w:themeColor="text1"/>
          <w:spacing w:val="4"/>
          <w:sz w:val="36"/>
          <w:szCs w:val="36"/>
          <w14:textFill>
            <w14:solidFill>
              <w14:schemeClr w14:val="tx1"/>
            </w14:solidFill>
          </w14:textFill>
        </w:rPr>
        <w:t>第三章 合同主要条款（设备</w:t>
      </w:r>
      <w:r>
        <w:rPr>
          <w:rFonts w:ascii="方正小标宋简体" w:eastAsia="方正小标宋简体"/>
          <w:color w:val="000000" w:themeColor="text1"/>
          <w:spacing w:val="4"/>
          <w:sz w:val="36"/>
          <w:szCs w:val="36"/>
          <w14:textFill>
            <w14:solidFill>
              <w14:schemeClr w14:val="tx1"/>
            </w14:solidFill>
          </w14:textFill>
        </w:rPr>
        <w:t>合同</w:t>
      </w:r>
      <w:r>
        <w:rPr>
          <w:rFonts w:hint="eastAsia" w:ascii="方正小标宋简体" w:eastAsia="方正小标宋简体"/>
          <w:color w:val="000000" w:themeColor="text1"/>
          <w:spacing w:val="4"/>
          <w:sz w:val="36"/>
          <w:szCs w:val="36"/>
          <w14:textFill>
            <w14:solidFill>
              <w14:schemeClr w14:val="tx1"/>
            </w14:solidFill>
          </w14:textFill>
        </w:rPr>
        <w:t>）</w:t>
      </w:r>
    </w:p>
    <w:p>
      <w:pPr>
        <w:spacing w:line="400" w:lineRule="exact"/>
        <w:jc w:val="right"/>
        <w:rPr>
          <w:rFonts w:ascii="宋体"/>
          <w:color w:val="000000" w:themeColor="text1"/>
          <w:sz w:val="24"/>
          <w:szCs w:val="24"/>
          <w14:textFill>
            <w14:solidFill>
              <w14:schemeClr w14:val="tx1"/>
            </w14:solidFill>
          </w14:textFill>
        </w:rPr>
      </w:pPr>
    </w:p>
    <w:p>
      <w:pPr>
        <w:spacing w:line="360" w:lineRule="auto"/>
        <w:outlineLvl w:val="0"/>
        <w:rPr>
          <w:rFonts w:ascii="宋体" w:hAnsi="宋体" w:cs="宋体"/>
          <w:sz w:val="24"/>
          <w:szCs w:val="24"/>
        </w:rPr>
      </w:pPr>
      <w:r>
        <w:rPr>
          <w:rFonts w:hint="eastAsia" w:ascii="宋体" w:hAnsi="宋体" w:cs="宋体"/>
          <w:b/>
          <w:sz w:val="24"/>
          <w:szCs w:val="24"/>
        </w:rPr>
        <w:t>甲方</w:t>
      </w:r>
      <w:r>
        <w:rPr>
          <w:rFonts w:hint="eastAsia" w:ascii="宋体" w:hAnsi="宋体" w:cs="宋体"/>
          <w:sz w:val="24"/>
          <w:szCs w:val="24"/>
        </w:rPr>
        <w:t xml:space="preserve">： 淮阴工学院  </w:t>
      </w:r>
    </w:p>
    <w:p>
      <w:pPr>
        <w:spacing w:line="360" w:lineRule="auto"/>
        <w:jc w:val="left"/>
        <w:rPr>
          <w:rFonts w:ascii="宋体" w:hAnsi="宋体" w:cs="宋体"/>
          <w:sz w:val="24"/>
          <w:szCs w:val="24"/>
        </w:rPr>
      </w:pPr>
      <w:r>
        <w:rPr>
          <w:rFonts w:hint="eastAsia" w:ascii="宋体" w:hAnsi="宋体" w:cs="宋体"/>
          <w:b/>
          <w:sz w:val="24"/>
          <w:szCs w:val="24"/>
        </w:rPr>
        <w:t xml:space="preserve">乙方:  </w:t>
      </w:r>
      <w:r>
        <w:rPr>
          <w:rFonts w:hint="eastAsia" w:ascii="宋体" w:hAnsi="宋体" w:cs="宋体"/>
          <w:b/>
          <w:sz w:val="24"/>
          <w:szCs w:val="24"/>
          <w:u w:val="single"/>
        </w:rPr>
        <w:t xml:space="preserve"> </w:t>
      </w:r>
      <w:r>
        <w:rPr>
          <w:rFonts w:ascii="宋体" w:hAnsi="宋体" w:cs="宋体"/>
          <w:b/>
          <w:sz w:val="24"/>
          <w:szCs w:val="24"/>
          <w:u w:val="single"/>
        </w:rPr>
        <w:t xml:space="preserve">                        </w:t>
      </w:r>
      <w:r>
        <w:rPr>
          <w:rFonts w:hint="eastAsia" w:ascii="宋体" w:hAnsi="宋体" w:cs="宋体"/>
          <w:b/>
          <w:sz w:val="24"/>
          <w:szCs w:val="24"/>
          <w:u w:val="single"/>
        </w:rPr>
        <w:t xml:space="preserve"> </w:t>
      </w:r>
      <w:r>
        <w:rPr>
          <w:rFonts w:hint="eastAsia" w:ascii="宋体" w:hAnsi="宋体" w:cs="宋体"/>
          <w:b/>
          <w:sz w:val="24"/>
          <w:szCs w:val="24"/>
        </w:rPr>
        <w:t xml:space="preserve"> </w:t>
      </w:r>
      <w:r>
        <w:rPr>
          <w:rFonts w:hint="eastAsia" w:ascii="宋体" w:hAnsi="宋体" w:cs="宋体"/>
          <w:sz w:val="24"/>
          <w:szCs w:val="24"/>
        </w:rPr>
        <w:t xml:space="preserve"> </w:t>
      </w:r>
    </w:p>
    <w:p>
      <w:pPr>
        <w:spacing w:line="360" w:lineRule="auto"/>
        <w:ind w:firstLine="480"/>
        <w:rPr>
          <w:rFonts w:ascii="宋体" w:hAnsi="宋体" w:cs="宋体"/>
          <w:sz w:val="24"/>
          <w:szCs w:val="24"/>
        </w:rPr>
      </w:pPr>
      <w:r>
        <w:rPr>
          <w:rFonts w:hint="eastAsia" w:ascii="宋体" w:hAnsi="宋体" w:cs="宋体"/>
          <w:sz w:val="24"/>
          <w:szCs w:val="24"/>
        </w:rPr>
        <w:t>根据《中华人民共和国合同法》，甲、乙双方经过友好协商，本着平等互利的原则，签订以下条款。</w:t>
      </w:r>
    </w:p>
    <w:p>
      <w:pPr>
        <w:pStyle w:val="2"/>
        <w:rPr>
          <w:lang w:val="en-US"/>
        </w:rPr>
      </w:pPr>
    </w:p>
    <w:p>
      <w:pPr>
        <w:numPr>
          <w:ilvl w:val="0"/>
          <w:numId w:val="1"/>
        </w:numPr>
        <w:spacing w:line="360" w:lineRule="auto"/>
        <w:ind w:left="0"/>
        <w:rPr>
          <w:rFonts w:ascii="宋体" w:hAnsi="宋体" w:cs="宋体"/>
          <w:b/>
          <w:sz w:val="24"/>
          <w:szCs w:val="24"/>
        </w:rPr>
      </w:pPr>
      <w:r>
        <w:rPr>
          <w:rFonts w:hint="eastAsia" w:ascii="宋体" w:hAnsi="宋体" w:cs="宋体"/>
          <w:b/>
          <w:sz w:val="24"/>
          <w:szCs w:val="24"/>
        </w:rPr>
        <w:t>采购内容</w:t>
      </w:r>
    </w:p>
    <w:p>
      <w:pPr>
        <w:spacing w:line="360" w:lineRule="auto"/>
        <w:rPr>
          <w:color w:val="000000" w:themeColor="text1"/>
          <w:sz w:val="24"/>
          <w:szCs w:val="24"/>
          <w14:textFill>
            <w14:solidFill>
              <w14:schemeClr w14:val="tx1"/>
            </w14:solidFill>
          </w14:textFill>
        </w:rPr>
      </w:pPr>
      <w:r>
        <w:rPr>
          <w:rFonts w:hint="eastAsia" w:ascii="宋体" w:hAnsi="宋体" w:cs="宋体"/>
          <w:sz w:val="24"/>
          <w:szCs w:val="24"/>
        </w:rPr>
        <w:t>项目名称：</w:t>
      </w:r>
      <w:r>
        <w:rPr>
          <w:rFonts w:hint="eastAsia"/>
          <w:color w:val="000000" w:themeColor="text1"/>
          <w:sz w:val="24"/>
          <w:szCs w:val="24"/>
          <w14:textFill>
            <w14:solidFill>
              <w14:schemeClr w14:val="tx1"/>
            </w14:solidFill>
          </w14:textFill>
        </w:rPr>
        <w:t>淮阴工学院外国语学院语言实验室设备采购与安装</w:t>
      </w:r>
    </w:p>
    <w:p>
      <w:pPr>
        <w:spacing w:line="360" w:lineRule="auto"/>
        <w:rPr>
          <w:rFonts w:ascii="宋体" w:hAnsi="宋体" w:cs="宋体"/>
          <w:b/>
          <w:sz w:val="24"/>
          <w:szCs w:val="24"/>
        </w:rPr>
      </w:pPr>
      <w:r>
        <w:rPr>
          <w:rFonts w:hint="eastAsia" w:ascii="宋体" w:hAnsi="宋体" w:cs="宋体"/>
          <w:sz w:val="24"/>
          <w:szCs w:val="24"/>
        </w:rPr>
        <w:t>所购设备具体厂家、型号、价格如下：</w:t>
      </w:r>
      <w:r>
        <w:rPr>
          <w:rFonts w:hint="eastAsia" w:ascii="宋体" w:hAnsi="宋体" w:cs="宋体"/>
          <w:b/>
          <w:bCs/>
          <w:sz w:val="24"/>
          <w:szCs w:val="24"/>
        </w:rPr>
        <w:t xml:space="preserve">      </w:t>
      </w:r>
    </w:p>
    <w:tbl>
      <w:tblPr>
        <w:tblStyle w:val="14"/>
        <w:tblpPr w:leftFromText="180" w:rightFromText="180" w:vertAnchor="text" w:horzAnchor="page" w:tblpX="1353" w:tblpY="282"/>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1701"/>
        <w:gridCol w:w="1507"/>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538" w:type="dxa"/>
            <w:vAlign w:val="center"/>
          </w:tcPr>
          <w:p>
            <w:pPr>
              <w:spacing w:line="360" w:lineRule="auto"/>
              <w:jc w:val="center"/>
              <w:rPr>
                <w:rFonts w:ascii="宋体" w:hAnsi="宋体" w:cs="宋体"/>
                <w:sz w:val="24"/>
                <w:szCs w:val="24"/>
              </w:rPr>
            </w:pPr>
            <w:r>
              <w:rPr>
                <w:rFonts w:hint="eastAsia" w:ascii="宋体" w:hAnsi="宋体" w:cs="宋体"/>
                <w:sz w:val="24"/>
                <w:szCs w:val="24"/>
              </w:rPr>
              <w:t>货物名称</w:t>
            </w:r>
          </w:p>
        </w:tc>
        <w:tc>
          <w:tcPr>
            <w:tcW w:w="1134" w:type="dxa"/>
            <w:vAlign w:val="center"/>
          </w:tcPr>
          <w:p>
            <w:pPr>
              <w:spacing w:line="360" w:lineRule="auto"/>
              <w:jc w:val="center"/>
              <w:rPr>
                <w:rFonts w:ascii="宋体" w:hAnsi="宋体" w:cs="宋体"/>
                <w:sz w:val="24"/>
                <w:szCs w:val="24"/>
              </w:rPr>
            </w:pPr>
            <w:r>
              <w:rPr>
                <w:rFonts w:hint="eastAsia" w:ascii="宋体" w:hAnsi="宋体" w:cs="宋体"/>
                <w:color w:val="000000"/>
                <w:sz w:val="24"/>
                <w:szCs w:val="24"/>
              </w:rPr>
              <w:t>品牌</w:t>
            </w:r>
          </w:p>
        </w:tc>
        <w:tc>
          <w:tcPr>
            <w:tcW w:w="1701" w:type="dxa"/>
            <w:vAlign w:val="center"/>
          </w:tcPr>
          <w:p>
            <w:pPr>
              <w:spacing w:line="360" w:lineRule="auto"/>
              <w:rPr>
                <w:rFonts w:ascii="宋体" w:hAnsi="宋体" w:cs="宋体"/>
                <w:color w:val="000000"/>
                <w:sz w:val="24"/>
                <w:szCs w:val="24"/>
              </w:rPr>
            </w:pPr>
            <w:r>
              <w:rPr>
                <w:rFonts w:hint="eastAsia" w:ascii="宋体" w:hAnsi="宋体" w:cs="宋体"/>
                <w:color w:val="000000"/>
                <w:sz w:val="24"/>
                <w:szCs w:val="24"/>
              </w:rPr>
              <w:t>规格、型号</w:t>
            </w:r>
          </w:p>
        </w:tc>
        <w:tc>
          <w:tcPr>
            <w:tcW w:w="1507" w:type="dxa"/>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生产厂家</w:t>
            </w:r>
          </w:p>
        </w:tc>
        <w:tc>
          <w:tcPr>
            <w:tcW w:w="738" w:type="dxa"/>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单位</w:t>
            </w:r>
          </w:p>
        </w:tc>
        <w:tc>
          <w:tcPr>
            <w:tcW w:w="706" w:type="dxa"/>
            <w:vAlign w:val="center"/>
          </w:tcPr>
          <w:p>
            <w:pPr>
              <w:spacing w:line="360" w:lineRule="auto"/>
              <w:jc w:val="center"/>
              <w:rPr>
                <w:rFonts w:ascii="宋体" w:hAnsi="宋体" w:cs="宋体"/>
                <w:sz w:val="24"/>
                <w:szCs w:val="24"/>
              </w:rPr>
            </w:pPr>
            <w:r>
              <w:rPr>
                <w:rFonts w:hint="eastAsia" w:ascii="宋体" w:hAnsi="宋体" w:cs="宋体"/>
                <w:sz w:val="24"/>
                <w:szCs w:val="24"/>
              </w:rPr>
              <w:t>数量</w:t>
            </w:r>
          </w:p>
        </w:tc>
        <w:tc>
          <w:tcPr>
            <w:tcW w:w="1116" w:type="dxa"/>
            <w:vAlign w:val="center"/>
          </w:tcPr>
          <w:p>
            <w:pPr>
              <w:spacing w:line="360" w:lineRule="auto"/>
              <w:jc w:val="center"/>
              <w:rPr>
                <w:rFonts w:ascii="宋体" w:hAnsi="宋体" w:cs="宋体"/>
                <w:sz w:val="24"/>
                <w:szCs w:val="24"/>
              </w:rPr>
            </w:pPr>
            <w:r>
              <w:rPr>
                <w:rFonts w:hint="eastAsia" w:ascii="宋体" w:hAnsi="宋体" w:cs="宋体"/>
                <w:sz w:val="24"/>
                <w:szCs w:val="24"/>
              </w:rPr>
              <w:t>单价（元）</w:t>
            </w:r>
          </w:p>
        </w:tc>
        <w:tc>
          <w:tcPr>
            <w:tcW w:w="1178" w:type="dxa"/>
            <w:vAlign w:val="center"/>
          </w:tcPr>
          <w:p>
            <w:pPr>
              <w:spacing w:line="360" w:lineRule="auto"/>
              <w:jc w:val="center"/>
              <w:rPr>
                <w:rFonts w:ascii="宋体" w:hAnsi="宋体" w:cs="宋体"/>
                <w:sz w:val="24"/>
                <w:szCs w:val="24"/>
              </w:rPr>
            </w:pPr>
            <w:r>
              <w:rPr>
                <w:rFonts w:hint="eastAsia" w:ascii="宋体" w:hAnsi="宋体" w:cs="宋体"/>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55"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538"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134"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701"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507" w:type="dxa"/>
            <w:tcBorders>
              <w:left w:val="single" w:color="auto" w:sz="4" w:space="0"/>
              <w:bottom w:val="single" w:color="auto" w:sz="4" w:space="0"/>
              <w:right w:val="single" w:color="auto" w:sz="4" w:space="0"/>
            </w:tcBorders>
          </w:tcPr>
          <w:p>
            <w:pPr>
              <w:spacing w:line="360" w:lineRule="auto"/>
              <w:jc w:val="center"/>
              <w:rPr>
                <w:rFonts w:ascii="宋体" w:hAnsi="宋体" w:cs="宋体"/>
                <w:spacing w:val="8"/>
                <w:sz w:val="24"/>
                <w:szCs w:val="24"/>
              </w:rPr>
            </w:pPr>
          </w:p>
        </w:tc>
        <w:tc>
          <w:tcPr>
            <w:tcW w:w="738"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8"/>
                <w:sz w:val="24"/>
                <w:szCs w:val="24"/>
              </w:rPr>
            </w:pPr>
          </w:p>
        </w:tc>
        <w:tc>
          <w:tcPr>
            <w:tcW w:w="706"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8"/>
                <w:sz w:val="24"/>
                <w:szCs w:val="24"/>
              </w:rPr>
            </w:pPr>
          </w:p>
        </w:tc>
        <w:tc>
          <w:tcPr>
            <w:tcW w:w="1116"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8"/>
                <w:sz w:val="24"/>
                <w:szCs w:val="24"/>
              </w:rPr>
            </w:pPr>
          </w:p>
        </w:tc>
        <w:tc>
          <w:tcPr>
            <w:tcW w:w="1178"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color w:val="000000"/>
                <w:kern w:val="0"/>
                <w:sz w:val="24"/>
                <w:szCs w:val="24"/>
              </w:rPr>
              <w:t>合计</w:t>
            </w:r>
          </w:p>
        </w:tc>
        <w:tc>
          <w:tcPr>
            <w:tcW w:w="8080"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bCs/>
                <w:sz w:val="24"/>
                <w:szCs w:val="24"/>
              </w:rPr>
            </w:pPr>
            <w:r>
              <w:rPr>
                <w:rFonts w:hint="eastAsia" w:ascii="宋体" w:hAnsi="宋体" w:cs="宋体"/>
                <w:kern w:val="0"/>
                <w:sz w:val="24"/>
                <w:szCs w:val="24"/>
              </w:rPr>
              <w:t xml:space="preserve">大写： </w:t>
            </w:r>
            <w:r>
              <w:rPr>
                <w:rFonts w:ascii="宋体" w:hAnsi="宋体" w:cs="宋体"/>
                <w:kern w:val="0"/>
                <w:sz w:val="24"/>
                <w:szCs w:val="24"/>
              </w:rPr>
              <w:t xml:space="preserve">   </w:t>
            </w:r>
            <w:r>
              <w:rPr>
                <w:rFonts w:hint="eastAsia" w:ascii="宋体" w:hAnsi="宋体" w:cs="宋体"/>
                <w:kern w:val="0"/>
                <w:sz w:val="24"/>
                <w:szCs w:val="24"/>
              </w:rPr>
              <w:t xml:space="preserve">万 </w:t>
            </w:r>
            <w:r>
              <w:rPr>
                <w:rFonts w:ascii="宋体" w:hAnsi="宋体" w:cs="宋体"/>
                <w:kern w:val="0"/>
                <w:sz w:val="24"/>
                <w:szCs w:val="24"/>
              </w:rPr>
              <w:t xml:space="preserve">  </w:t>
            </w:r>
            <w:r>
              <w:rPr>
                <w:rFonts w:hint="eastAsia" w:ascii="宋体" w:hAnsi="宋体" w:cs="宋体"/>
                <w:kern w:val="0"/>
                <w:sz w:val="24"/>
                <w:szCs w:val="24"/>
              </w:rPr>
              <w:t xml:space="preserve">仟 </w:t>
            </w:r>
            <w:r>
              <w:rPr>
                <w:rFonts w:ascii="宋体" w:hAnsi="宋体" w:cs="宋体"/>
                <w:kern w:val="0"/>
                <w:sz w:val="24"/>
                <w:szCs w:val="24"/>
              </w:rPr>
              <w:t xml:space="preserve">  </w:t>
            </w:r>
            <w:r>
              <w:rPr>
                <w:rFonts w:hint="eastAsia" w:ascii="宋体" w:hAnsi="宋体" w:cs="宋体"/>
                <w:kern w:val="0"/>
                <w:sz w:val="24"/>
                <w:szCs w:val="24"/>
              </w:rPr>
              <w:t>佰  拾</w:t>
            </w:r>
            <w:r>
              <w:rPr>
                <w:rFonts w:ascii="宋体" w:hAnsi="宋体" w:cs="宋体"/>
                <w:kern w:val="0"/>
                <w:sz w:val="24"/>
                <w:szCs w:val="24"/>
              </w:rPr>
              <w:t xml:space="preserve"> </w:t>
            </w:r>
            <w:r>
              <w:rPr>
                <w:rFonts w:hint="eastAsia" w:ascii="宋体" w:hAnsi="宋体" w:cs="宋体"/>
                <w:kern w:val="0"/>
                <w:sz w:val="24"/>
                <w:szCs w:val="24"/>
              </w:rPr>
              <w:t xml:space="preserve">元整    </w:t>
            </w:r>
            <w:r>
              <w:rPr>
                <w:rFonts w:hint="eastAsia" w:ascii="宋体" w:hAnsi="宋体"/>
                <w:color w:val="000000"/>
                <w:sz w:val="24"/>
                <w:szCs w:val="24"/>
              </w:rPr>
              <w:t>（小写）：￥</w:t>
            </w:r>
            <w:r>
              <w:rPr>
                <w:rFonts w:hint="eastAsia" w:ascii="宋体" w:hAnsi="宋体" w:cs="宋体"/>
                <w:kern w:val="0"/>
                <w:sz w:val="24"/>
                <w:szCs w:val="24"/>
              </w:rPr>
              <w:t xml:space="preserve"> ：   </w:t>
            </w:r>
            <w:r>
              <w:rPr>
                <w:rFonts w:hint="eastAsia" w:ascii="宋体" w:hAnsi="宋体" w:cs="宋体"/>
                <w:b/>
                <w:bCs/>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173"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
                <w:bCs/>
                <w:kern w:val="0"/>
                <w:sz w:val="24"/>
                <w:szCs w:val="24"/>
              </w:rPr>
            </w:pPr>
            <w:r>
              <w:rPr>
                <w:rFonts w:hint="eastAsia" w:ascii="宋体" w:hAnsi="宋体" w:cs="宋体"/>
                <w:sz w:val="24"/>
                <w:szCs w:val="24"/>
              </w:rPr>
              <w:t>含运输，搬运，保险，安装，调试，税收等相关费用。</w:t>
            </w:r>
          </w:p>
        </w:tc>
      </w:tr>
    </w:tbl>
    <w:p>
      <w:pPr>
        <w:spacing w:line="360" w:lineRule="auto"/>
        <w:rPr>
          <w:rFonts w:ascii="宋体" w:hAnsi="宋体" w:cs="宋体"/>
          <w:sz w:val="24"/>
          <w:szCs w:val="24"/>
        </w:rPr>
      </w:pPr>
    </w:p>
    <w:p>
      <w:pPr>
        <w:tabs>
          <w:tab w:val="left" w:pos="945"/>
          <w:tab w:val="left" w:pos="1050"/>
          <w:tab w:val="left" w:pos="1155"/>
        </w:tabs>
        <w:adjustRightInd w:val="0"/>
        <w:spacing w:line="360" w:lineRule="auto"/>
        <w:ind w:firstLine="480" w:firstLineChars="200"/>
        <w:rPr>
          <w:rFonts w:ascii="宋体" w:hAnsi="宋体" w:cs="宋体"/>
          <w:b/>
          <w:sz w:val="24"/>
          <w:szCs w:val="24"/>
        </w:rPr>
      </w:pPr>
      <w:r>
        <w:rPr>
          <w:rFonts w:hint="eastAsia" w:ascii="宋体" w:hAnsi="宋体" w:cs="宋体"/>
          <w:b/>
          <w:sz w:val="24"/>
          <w:szCs w:val="24"/>
        </w:rPr>
        <w:t>二、交货时间及地点</w:t>
      </w:r>
    </w:p>
    <w:p>
      <w:pPr>
        <w:tabs>
          <w:tab w:val="left" w:pos="945"/>
        </w:tabs>
        <w:adjustRightInd w:val="0"/>
        <w:spacing w:line="360" w:lineRule="auto"/>
        <w:ind w:firstLine="510"/>
        <w:rPr>
          <w:rFonts w:ascii="宋体" w:hAnsi="宋体" w:cs="宋体"/>
          <w:b/>
          <w:sz w:val="24"/>
          <w:szCs w:val="24"/>
        </w:rPr>
      </w:pPr>
      <w:r>
        <w:rPr>
          <w:rFonts w:hint="eastAsia" w:ascii="宋体" w:hAnsi="宋体" w:cs="宋体"/>
          <w:sz w:val="24"/>
          <w:szCs w:val="24"/>
        </w:rPr>
        <w:t>乙方须在合同签订后</w:t>
      </w:r>
      <w:r>
        <w:rPr>
          <w:rFonts w:hint="eastAsia" w:ascii="宋体" w:hAnsi="宋体" w:cs="宋体"/>
          <w:sz w:val="24"/>
          <w:szCs w:val="24"/>
          <w:u w:val="single"/>
        </w:rPr>
        <w:t xml:space="preserve"> </w:t>
      </w:r>
      <w:r>
        <w:rPr>
          <w:rFonts w:ascii="宋体" w:hAnsi="宋体" w:cs="宋体"/>
          <w:sz w:val="24"/>
          <w:szCs w:val="24"/>
          <w:u w:val="single"/>
        </w:rPr>
        <w:t xml:space="preserve"> 30 </w:t>
      </w:r>
      <w:r>
        <w:rPr>
          <w:rFonts w:hint="eastAsia" w:ascii="宋体" w:hAnsi="宋体" w:cs="宋体"/>
          <w:sz w:val="24"/>
          <w:szCs w:val="24"/>
          <w:u w:val="single"/>
        </w:rPr>
        <w:t xml:space="preserve"> </w:t>
      </w:r>
      <w:r>
        <w:rPr>
          <w:rFonts w:hint="eastAsia" w:ascii="宋体" w:hAnsi="宋体" w:cs="宋体"/>
          <w:sz w:val="24"/>
          <w:szCs w:val="24"/>
        </w:rPr>
        <w:t>日前免费将本合同订购之设备送至甲方指定地点，并负责安装完毕。</w:t>
      </w:r>
    </w:p>
    <w:p>
      <w:pPr>
        <w:tabs>
          <w:tab w:val="left" w:pos="900"/>
          <w:tab w:val="left" w:pos="945"/>
        </w:tabs>
        <w:adjustRightInd w:val="0"/>
        <w:spacing w:line="360" w:lineRule="auto"/>
        <w:ind w:firstLine="482"/>
        <w:rPr>
          <w:rFonts w:ascii="宋体" w:hAnsi="宋体" w:cs="宋体"/>
          <w:b/>
          <w:sz w:val="24"/>
          <w:szCs w:val="24"/>
        </w:rPr>
      </w:pPr>
      <w:r>
        <w:rPr>
          <w:rFonts w:hint="eastAsia" w:ascii="宋体" w:hAnsi="宋体" w:cs="宋体"/>
          <w:b/>
          <w:sz w:val="24"/>
          <w:szCs w:val="24"/>
        </w:rPr>
        <w:t>三、相关责任及付款方式</w:t>
      </w:r>
    </w:p>
    <w:p>
      <w:pPr>
        <w:tabs>
          <w:tab w:val="left" w:pos="900"/>
          <w:tab w:val="left" w:pos="945"/>
        </w:tabs>
        <w:adjustRightInd w:val="0"/>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乙方须保证甲方所购设备为原厂全新产品，并符合本合同对配置的要求，否则视为不合格设备。乙方免费安装、调试完好并承担如下服务：</w:t>
      </w:r>
    </w:p>
    <w:p>
      <w:pPr>
        <w:tabs>
          <w:tab w:val="left" w:pos="900"/>
          <w:tab w:val="left" w:pos="945"/>
        </w:tabs>
        <w:adjustRightInd w:val="0"/>
        <w:spacing w:line="360" w:lineRule="auto"/>
        <w:ind w:firstLine="460" w:firstLineChars="19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（1）提供符合国家税务机关规定的正式全额增值税专用发票。</w:t>
      </w:r>
    </w:p>
    <w:p>
      <w:pPr>
        <w:tabs>
          <w:tab w:val="left" w:pos="900"/>
          <w:tab w:val="left" w:pos="945"/>
        </w:tabs>
        <w:adjustRightInd w:val="0"/>
        <w:spacing w:line="360" w:lineRule="auto"/>
        <w:ind w:firstLine="460" w:firstLineChars="192"/>
        <w:rPr>
          <w:rFonts w:ascii="宋体" w:hAnsi="宋体" w:cs="宋体"/>
          <w:sz w:val="24"/>
          <w:szCs w:val="24"/>
        </w:rPr>
      </w:pPr>
      <w:r>
        <w:rPr>
          <w:rFonts w:hint="eastAsia" w:ascii="宋体" w:hAnsi="宋体" w:cs="宋体"/>
          <w:color w:val="000000" w:themeColor="text1"/>
          <w:sz w:val="24"/>
          <w:szCs w:val="24"/>
          <w14:textFill>
            <w14:solidFill>
              <w14:schemeClr w14:val="tx1"/>
            </w14:solidFill>
          </w14:textFill>
        </w:rPr>
        <w:t>（2）每延迟一天供货，乙方</w:t>
      </w:r>
      <w:r>
        <w:rPr>
          <w:rFonts w:hint="eastAsia" w:ascii="宋体" w:hAnsi="宋体" w:cs="宋体"/>
          <w:sz w:val="24"/>
          <w:szCs w:val="24"/>
        </w:rPr>
        <w:t>须向甲方支付违约金（RMB）200.00元整，总违约金累计计算。违约金由甲方从乙方货款中直接扣除。</w:t>
      </w:r>
    </w:p>
    <w:p>
      <w:pPr>
        <w:tabs>
          <w:tab w:val="left" w:pos="900"/>
        </w:tabs>
        <w:adjustRightInd w:val="0"/>
        <w:spacing w:line="360" w:lineRule="auto"/>
        <w:ind w:firstLine="460" w:firstLineChars="192"/>
        <w:rPr>
          <w:rFonts w:ascii="宋体" w:hAnsi="宋体" w:cs="宋体"/>
          <w:sz w:val="24"/>
          <w:szCs w:val="24"/>
        </w:rPr>
      </w:pPr>
      <w:r>
        <w:rPr>
          <w:rFonts w:hint="eastAsia" w:ascii="宋体" w:hAnsi="宋体" w:cs="宋体"/>
          <w:sz w:val="24"/>
          <w:szCs w:val="24"/>
        </w:rPr>
        <w:t xml:space="preserve">（3）甲方所购设备质保期期为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color w:val="000000"/>
          <w:sz w:val="24"/>
          <w:szCs w:val="24"/>
        </w:rPr>
        <w:t>质保期内免费上门服务。乙方的响应时间是在接到甲方电话后1个小时内响应，在24小时内解决问题。无法当场检修的 ，乙方提供相同规格的设备代用。</w:t>
      </w:r>
      <w:r>
        <w:rPr>
          <w:rFonts w:hint="eastAsia" w:ascii="宋体" w:hAnsi="宋体" w:cs="宋体"/>
          <w:sz w:val="24"/>
          <w:szCs w:val="24"/>
        </w:rPr>
        <w:t>如</w:t>
      </w:r>
      <w:r>
        <w:rPr>
          <w:rFonts w:hint="eastAsia" w:ascii="宋体" w:hAnsi="宋体" w:cs="宋体"/>
          <w:color w:val="000000"/>
          <w:sz w:val="24"/>
          <w:szCs w:val="24"/>
        </w:rPr>
        <w:t>无法当场检修且乙方不能提供相同规格的设备代用</w:t>
      </w:r>
      <w:r>
        <w:rPr>
          <w:rFonts w:hint="eastAsia" w:ascii="宋体" w:hAnsi="宋体" w:cs="宋体"/>
          <w:sz w:val="24"/>
          <w:szCs w:val="24"/>
        </w:rPr>
        <w:t>，乙方须向甲方支付（RMB）200.00元/天的违约金。</w:t>
      </w:r>
    </w:p>
    <w:p>
      <w:pPr>
        <w:tabs>
          <w:tab w:val="left" w:pos="900"/>
        </w:tabs>
        <w:adjustRightInd w:val="0"/>
        <w:spacing w:line="360" w:lineRule="auto"/>
        <w:ind w:firstLine="360" w:firstLineChars="150"/>
        <w:rPr>
          <w:rFonts w:ascii="宋体" w:hAnsi="宋体" w:cs="宋体"/>
          <w:sz w:val="24"/>
          <w:szCs w:val="24"/>
        </w:rPr>
      </w:pPr>
      <w:r>
        <w:rPr>
          <w:rFonts w:hint="eastAsia" w:ascii="宋体" w:hAnsi="宋体" w:cs="宋体"/>
          <w:sz w:val="24"/>
          <w:szCs w:val="24"/>
        </w:rPr>
        <w:t>（4）在设备免费质保期满后，乙方对甲方所购设备提供终身维修服务，只收更换部件成本费，免收服务费。</w:t>
      </w:r>
    </w:p>
    <w:p>
      <w:pPr>
        <w:tabs>
          <w:tab w:val="left" w:pos="900"/>
        </w:tabs>
        <w:adjustRightInd w:val="0"/>
        <w:spacing w:line="360" w:lineRule="auto"/>
        <w:ind w:firstLine="360" w:firstLineChars="150"/>
        <w:rPr>
          <w:rFonts w:ascii="宋体" w:hAnsi="宋体" w:cs="宋体"/>
          <w:color w:val="000000"/>
          <w:sz w:val="24"/>
          <w:szCs w:val="24"/>
        </w:rPr>
      </w:pPr>
      <w:r>
        <w:rPr>
          <w:rFonts w:hint="eastAsia" w:ascii="宋体" w:hAnsi="宋体" w:cs="宋体"/>
          <w:color w:val="000000"/>
          <w:sz w:val="24"/>
          <w:szCs w:val="24"/>
        </w:rPr>
        <w:t>（5）乙方设备到达甲方后，在搬运和现场安装等过程中，要做好安全防护工作。在实施期间造成人身及财产损害，所有责任均由乙方承担。</w:t>
      </w:r>
    </w:p>
    <w:p>
      <w:pPr>
        <w:pStyle w:val="6"/>
        <w:rPr>
          <w:rFonts w:hAnsi="宋体" w:cs="宋体"/>
          <w:sz w:val="24"/>
          <w:szCs w:val="24"/>
        </w:rPr>
      </w:pPr>
      <w:r>
        <w:rPr>
          <w:rFonts w:hint="eastAsia" w:hAnsi="宋体" w:cs="宋体"/>
          <w:sz w:val="24"/>
          <w:szCs w:val="24"/>
        </w:rPr>
        <w:t>本合同“免费质保”均指甲方使用过程中“非人为因素”造成乙方所提供设备损坏的前提下。</w:t>
      </w:r>
    </w:p>
    <w:p>
      <w:pPr>
        <w:tabs>
          <w:tab w:val="left" w:pos="900"/>
        </w:tabs>
        <w:adjustRightInd w:val="0"/>
        <w:spacing w:line="360" w:lineRule="auto"/>
        <w:rPr>
          <w:rFonts w:ascii="宋体" w:hAnsi="宋体" w:cs="宋体"/>
          <w:sz w:val="24"/>
          <w:szCs w:val="24"/>
        </w:rPr>
      </w:pPr>
      <w:r>
        <w:rPr>
          <w:rFonts w:hint="eastAsia" w:ascii="宋体" w:hAnsi="宋体" w:cs="宋体"/>
          <w:sz w:val="24"/>
          <w:szCs w:val="24"/>
        </w:rPr>
        <w:t xml:space="preserve">    质保起算时间以甲方的验收合格时间开始计算。</w:t>
      </w:r>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在乙方根据合同规定时间按时交货并安装调试完毕，经过一段时间使用，甲方应及时组织对乙方所供设备进行验收。验收合格后，甲方支付给乙方到合同总金额的</w:t>
      </w:r>
      <w:r>
        <w:rPr>
          <w:rFonts w:ascii="宋体" w:hAnsi="宋体" w:cs="宋体"/>
          <w:sz w:val="24"/>
          <w:szCs w:val="24"/>
        </w:rPr>
        <w:t>95%</w:t>
      </w:r>
      <w:r>
        <w:rPr>
          <w:rFonts w:hint="eastAsia" w:ascii="宋体" w:hAnsi="宋体" w:cs="宋体"/>
          <w:sz w:val="24"/>
          <w:szCs w:val="24"/>
        </w:rPr>
        <w:t xml:space="preserve">，人民币： </w:t>
      </w:r>
      <w:r>
        <w:rPr>
          <w:rFonts w:ascii="宋体" w:hAnsi="宋体" w:cs="宋体"/>
          <w:sz w:val="24"/>
          <w:szCs w:val="24"/>
        </w:rPr>
        <w:t xml:space="preserve">  </w:t>
      </w:r>
      <w:r>
        <w:rPr>
          <w:rFonts w:hint="eastAsia" w:ascii="宋体" w:hAnsi="宋体" w:cs="宋体"/>
          <w:sz w:val="24"/>
          <w:szCs w:val="24"/>
        </w:rPr>
        <w:t>元整（￥）；合同总金额的</w:t>
      </w:r>
      <w:r>
        <w:rPr>
          <w:rFonts w:ascii="宋体" w:hAnsi="宋体" w:cs="宋体"/>
          <w:sz w:val="24"/>
          <w:szCs w:val="24"/>
        </w:rPr>
        <w:t>5%</w:t>
      </w:r>
      <w:r>
        <w:rPr>
          <w:rFonts w:hint="eastAsia" w:ascii="宋体" w:hAnsi="宋体" w:cs="宋体"/>
          <w:sz w:val="24"/>
          <w:szCs w:val="24"/>
        </w:rPr>
        <w:t xml:space="preserve">，人民币： </w:t>
      </w:r>
      <w:r>
        <w:rPr>
          <w:rFonts w:ascii="宋体" w:hAnsi="宋体" w:cs="宋体"/>
          <w:sz w:val="24"/>
          <w:szCs w:val="24"/>
        </w:rPr>
        <w:t xml:space="preserve">    </w:t>
      </w:r>
      <w:r>
        <w:rPr>
          <w:rFonts w:hint="eastAsia" w:ascii="宋体" w:hAnsi="宋体" w:cs="宋体"/>
          <w:sz w:val="24"/>
          <w:szCs w:val="24"/>
        </w:rPr>
        <w:t>元整（￥）作为质保金，履行服务与质保承诺，设备正常使用一年后一次性付清。</w:t>
      </w:r>
    </w:p>
    <w:p>
      <w:pPr>
        <w:tabs>
          <w:tab w:val="left" w:pos="735"/>
          <w:tab w:val="left" w:pos="900"/>
          <w:tab w:val="left" w:pos="945"/>
          <w:tab w:val="left" w:pos="1080"/>
        </w:tabs>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如经甲方验收为不合格，根据乙方不合格违约责任的大小，由乙方支付合同中不合格产品总价的5%-20%给甲方作为违约金，并在保证甲方使用的前提下，乙方应按合同质量要求，重新提供合格产品并安装调试到位。如乙方提供的产品存在重大质量问题，乙方除按不合格产品总价承担20%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pPr>
        <w:tabs>
          <w:tab w:val="left" w:pos="735"/>
          <w:tab w:val="left" w:pos="900"/>
          <w:tab w:val="left" w:pos="945"/>
          <w:tab w:val="left" w:pos="1080"/>
        </w:tabs>
        <w:adjustRightInd w:val="0"/>
        <w:snapToGrid w:val="0"/>
        <w:spacing w:line="360" w:lineRule="auto"/>
        <w:ind w:firstLine="480" w:firstLineChars="200"/>
        <w:rPr>
          <w:rFonts w:ascii="宋体" w:hAnsi="宋体" w:cs="宋体"/>
          <w:b/>
          <w:sz w:val="24"/>
          <w:szCs w:val="24"/>
        </w:rPr>
      </w:pPr>
      <w:r>
        <w:rPr>
          <w:rFonts w:hint="eastAsia" w:ascii="宋体" w:hAnsi="宋体" w:cs="宋体"/>
          <w:b/>
          <w:sz w:val="24"/>
          <w:szCs w:val="24"/>
        </w:rPr>
        <w:t>四、验收标准</w:t>
      </w:r>
    </w:p>
    <w:p>
      <w:pPr>
        <w:spacing w:line="360" w:lineRule="auto"/>
        <w:ind w:firstLine="576"/>
        <w:rPr>
          <w:rFonts w:ascii="宋体" w:hAnsi="宋体" w:cs="宋体"/>
          <w:sz w:val="24"/>
          <w:szCs w:val="24"/>
        </w:rPr>
      </w:pPr>
      <w:r>
        <w:rPr>
          <w:rFonts w:hint="eastAsia" w:ascii="宋体" w:hAnsi="宋体" w:cs="宋体"/>
          <w:sz w:val="24"/>
          <w:szCs w:val="24"/>
        </w:rPr>
        <w:t>1、设备应根据本合同及其招、投标文件进行验收，招、投标文件与本合同相抵触的，以本合同为准。</w:t>
      </w:r>
    </w:p>
    <w:p>
      <w:pPr>
        <w:spacing w:line="360" w:lineRule="auto"/>
        <w:ind w:firstLine="576"/>
        <w:rPr>
          <w:rFonts w:ascii="宋体" w:hAnsi="宋体" w:cs="宋体"/>
          <w:sz w:val="24"/>
          <w:szCs w:val="24"/>
        </w:rPr>
      </w:pPr>
      <w:r>
        <w:rPr>
          <w:rFonts w:hint="eastAsia" w:ascii="宋体" w:hAnsi="宋体" w:cs="宋体"/>
          <w:b/>
          <w:sz w:val="24"/>
          <w:szCs w:val="24"/>
        </w:rPr>
        <w:t>五、履约保证金退还</w:t>
      </w:r>
    </w:p>
    <w:p>
      <w:pPr>
        <w:spacing w:line="360" w:lineRule="auto"/>
        <w:ind w:firstLine="576"/>
        <w:rPr>
          <w:rFonts w:ascii="宋体" w:hAnsi="宋体" w:cs="宋体"/>
          <w:sz w:val="24"/>
          <w:szCs w:val="24"/>
        </w:rPr>
      </w:pPr>
      <w:r>
        <w:rPr>
          <w:rFonts w:hint="eastAsia" w:ascii="宋体" w:hAnsi="宋体" w:cs="宋体"/>
          <w:sz w:val="24"/>
          <w:szCs w:val="24"/>
        </w:rPr>
        <w:t>1、履约保证金在项目验收合格后无息退还。乙方凭甲方签署的同意退还履约保证金的证明，到淮阴工学院计划财务处办理保证金退还手续。</w:t>
      </w:r>
    </w:p>
    <w:p>
      <w:pPr>
        <w:spacing w:line="360" w:lineRule="auto"/>
        <w:ind w:firstLine="576"/>
        <w:rPr>
          <w:rFonts w:ascii="宋体" w:hAnsi="宋体" w:cs="宋体"/>
          <w:sz w:val="24"/>
          <w:szCs w:val="24"/>
        </w:rPr>
      </w:pPr>
      <w:r>
        <w:rPr>
          <w:rFonts w:hint="eastAsia" w:ascii="宋体" w:hAnsi="宋体" w:cs="宋体"/>
          <w:sz w:val="24"/>
          <w:szCs w:val="24"/>
        </w:rPr>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pPr>
        <w:tabs>
          <w:tab w:val="left" w:pos="735"/>
          <w:tab w:val="left" w:pos="900"/>
          <w:tab w:val="left" w:pos="945"/>
        </w:tabs>
        <w:adjustRightInd w:val="0"/>
        <w:snapToGrid w:val="0"/>
        <w:spacing w:line="360" w:lineRule="auto"/>
        <w:ind w:firstLine="482"/>
        <w:rPr>
          <w:rFonts w:ascii="宋体" w:hAnsi="宋体" w:cs="宋体"/>
          <w:sz w:val="24"/>
          <w:szCs w:val="24"/>
        </w:rPr>
      </w:pPr>
      <w:r>
        <w:rPr>
          <w:rFonts w:hint="eastAsia" w:ascii="宋体" w:hAnsi="宋体" w:cs="宋体"/>
          <w:b/>
          <w:sz w:val="24"/>
          <w:szCs w:val="24"/>
        </w:rPr>
        <w:t>六、</w:t>
      </w:r>
      <w:r>
        <w:rPr>
          <w:rFonts w:hint="eastAsia" w:ascii="宋体" w:hAnsi="宋体" w:cs="宋体"/>
          <w:sz w:val="24"/>
          <w:szCs w:val="24"/>
        </w:rPr>
        <w:t>招标文件、投标文件均是本合同的组成部分，本合同未尽事宜或发生合同纠纷时由双方协商解决。无法协商解决的可向淮安市开发区人民法院提起诉讼。</w:t>
      </w:r>
    </w:p>
    <w:p>
      <w:pPr>
        <w:tabs>
          <w:tab w:val="left" w:pos="735"/>
          <w:tab w:val="left" w:pos="900"/>
          <w:tab w:val="left" w:pos="945"/>
        </w:tabs>
        <w:adjustRightInd w:val="0"/>
        <w:snapToGrid w:val="0"/>
        <w:spacing w:line="360" w:lineRule="auto"/>
        <w:ind w:firstLine="482"/>
        <w:rPr>
          <w:rFonts w:ascii="宋体" w:hAnsi="宋体" w:cs="宋体"/>
          <w:sz w:val="24"/>
          <w:szCs w:val="24"/>
        </w:rPr>
      </w:pPr>
      <w:r>
        <w:rPr>
          <w:rFonts w:hint="eastAsia" w:ascii="宋体" w:hAnsi="宋体" w:cs="宋体"/>
          <w:b/>
          <w:sz w:val="24"/>
          <w:szCs w:val="24"/>
        </w:rPr>
        <w:t>七、</w:t>
      </w:r>
      <w:r>
        <w:rPr>
          <w:rFonts w:hint="eastAsia" w:ascii="宋体" w:hAnsi="宋体" w:cs="宋体"/>
          <w:sz w:val="24"/>
          <w:szCs w:val="24"/>
        </w:rPr>
        <w:t>本合同经双方签字盖章后生效。</w:t>
      </w:r>
    </w:p>
    <w:p>
      <w:pPr>
        <w:tabs>
          <w:tab w:val="left" w:pos="735"/>
          <w:tab w:val="left" w:pos="900"/>
          <w:tab w:val="left" w:pos="945"/>
        </w:tabs>
        <w:adjustRightInd w:val="0"/>
        <w:snapToGrid w:val="0"/>
        <w:spacing w:line="360" w:lineRule="auto"/>
        <w:ind w:firstLine="482"/>
        <w:rPr>
          <w:rFonts w:ascii="宋体" w:hAnsi="宋体" w:cs="宋体"/>
          <w:sz w:val="24"/>
          <w:szCs w:val="24"/>
        </w:rPr>
      </w:pPr>
      <w:r>
        <w:rPr>
          <w:rFonts w:hint="eastAsia" w:ascii="宋体" w:hAnsi="宋体" w:cs="宋体"/>
          <w:sz w:val="24"/>
          <w:szCs w:val="24"/>
        </w:rPr>
        <w:t>八、本合同一式七份，甲方执六份乙方执一份。具有相同的法律效力。</w:t>
      </w:r>
    </w:p>
    <w:p>
      <w:pPr>
        <w:tabs>
          <w:tab w:val="left" w:pos="900"/>
          <w:tab w:val="left" w:pos="945"/>
        </w:tabs>
        <w:adjustRightInd w:val="0"/>
        <w:spacing w:line="360" w:lineRule="auto"/>
        <w:rPr>
          <w:rFonts w:ascii="宋体" w:hAnsi="宋体" w:cs="宋体"/>
          <w:sz w:val="24"/>
          <w:szCs w:val="24"/>
        </w:rPr>
      </w:pPr>
    </w:p>
    <w:p>
      <w:pPr>
        <w:tabs>
          <w:tab w:val="left" w:pos="900"/>
          <w:tab w:val="left" w:pos="945"/>
        </w:tabs>
        <w:adjustRightInd w:val="0"/>
        <w:spacing w:line="360" w:lineRule="auto"/>
        <w:rPr>
          <w:rFonts w:ascii="宋体" w:hAnsi="宋体" w:cs="宋体"/>
          <w:sz w:val="24"/>
          <w:szCs w:val="24"/>
        </w:rPr>
      </w:pPr>
      <w:r>
        <w:rPr>
          <w:rFonts w:hint="eastAsia" w:ascii="宋体" w:hAnsi="宋体" w:cs="宋体"/>
          <w:sz w:val="24"/>
          <w:szCs w:val="24"/>
        </w:rPr>
        <w:t xml:space="preserve">甲方：淮阴工学院                    乙方： </w:t>
      </w:r>
    </w:p>
    <w:p>
      <w:pPr>
        <w:tabs>
          <w:tab w:val="left" w:pos="900"/>
          <w:tab w:val="left" w:pos="945"/>
        </w:tabs>
        <w:adjustRightInd w:val="0"/>
        <w:spacing w:line="360" w:lineRule="auto"/>
        <w:rPr>
          <w:rFonts w:ascii="宋体" w:hAnsi="宋体" w:cs="宋体"/>
          <w:sz w:val="24"/>
          <w:szCs w:val="24"/>
        </w:rPr>
      </w:pPr>
      <w:r>
        <w:rPr>
          <w:rFonts w:hint="eastAsia" w:ascii="宋体" w:hAnsi="宋体" w:cs="宋体"/>
          <w:sz w:val="24"/>
          <w:szCs w:val="24"/>
        </w:rPr>
        <w:t>委托代理人：（签章）                代理人：（签章）</w:t>
      </w:r>
    </w:p>
    <w:p>
      <w:pPr>
        <w:tabs>
          <w:tab w:val="left" w:pos="900"/>
          <w:tab w:val="left" w:pos="945"/>
        </w:tabs>
        <w:adjustRightInd w:val="0"/>
        <w:spacing w:line="360" w:lineRule="auto"/>
        <w:ind w:left="5760" w:hanging="5760" w:hangingChars="2400"/>
        <w:rPr>
          <w:rFonts w:ascii="宋体" w:hAnsi="宋体" w:cs="宋体"/>
          <w:sz w:val="24"/>
          <w:szCs w:val="24"/>
        </w:rPr>
      </w:pPr>
      <w:r>
        <w:rPr>
          <w:rFonts w:hint="eastAsia" w:ascii="宋体" w:hAnsi="宋体" w:cs="宋体"/>
          <w:sz w:val="24"/>
          <w:szCs w:val="24"/>
        </w:rPr>
        <w:t xml:space="preserve">开户银行：                          开户银行： </w:t>
      </w:r>
    </w:p>
    <w:p>
      <w:pPr>
        <w:tabs>
          <w:tab w:val="left" w:pos="900"/>
          <w:tab w:val="left" w:pos="945"/>
        </w:tabs>
        <w:adjustRightInd w:val="0"/>
        <w:spacing w:line="360" w:lineRule="auto"/>
        <w:rPr>
          <w:rFonts w:ascii="宋体" w:hAnsi="宋体" w:cs="宋体"/>
          <w:sz w:val="24"/>
          <w:szCs w:val="24"/>
        </w:rPr>
      </w:pPr>
      <w:r>
        <w:rPr>
          <w:rFonts w:hint="eastAsia" w:ascii="宋体" w:hAnsi="宋体" w:cs="宋体"/>
          <w:sz w:val="24"/>
          <w:szCs w:val="24"/>
        </w:rPr>
        <w:t>帐 号：                             帐 号：</w:t>
      </w:r>
    </w:p>
    <w:p>
      <w:pPr>
        <w:tabs>
          <w:tab w:val="left" w:pos="900"/>
          <w:tab w:val="left" w:pos="945"/>
        </w:tabs>
        <w:adjustRightInd w:val="0"/>
        <w:spacing w:line="360" w:lineRule="auto"/>
        <w:rPr>
          <w:rFonts w:ascii="宋体" w:hAnsi="宋体" w:cs="宋体"/>
          <w:sz w:val="24"/>
          <w:szCs w:val="24"/>
        </w:rPr>
      </w:pPr>
      <w:r>
        <w:rPr>
          <w:rFonts w:hint="eastAsia" w:ascii="宋体" w:hAnsi="宋体" w:cs="宋体"/>
          <w:sz w:val="24"/>
          <w:szCs w:val="24"/>
        </w:rPr>
        <w:t xml:space="preserve">签订日期： 2020 年 </w:t>
      </w:r>
      <w:r>
        <w:rPr>
          <w:rFonts w:ascii="宋体" w:hAnsi="宋体" w:cs="宋体"/>
          <w:sz w:val="24"/>
          <w:szCs w:val="24"/>
        </w:rPr>
        <w:t xml:space="preserve">  </w:t>
      </w:r>
      <w:r>
        <w:rPr>
          <w:rFonts w:hint="eastAsia" w:ascii="宋体" w:hAnsi="宋体" w:cs="宋体"/>
          <w:sz w:val="24"/>
          <w:szCs w:val="24"/>
        </w:rPr>
        <w:t xml:space="preserve">月  日       签订日期：2020 年   月 </w:t>
      </w:r>
      <w:r>
        <w:rPr>
          <w:rFonts w:ascii="宋体" w:hAnsi="宋体" w:cs="宋体"/>
          <w:sz w:val="24"/>
          <w:szCs w:val="24"/>
        </w:rPr>
        <w:t xml:space="preserve">  </w:t>
      </w:r>
      <w:r>
        <w:rPr>
          <w:rFonts w:hint="eastAsia" w:ascii="宋体" w:hAnsi="宋体" w:cs="宋体"/>
          <w:sz w:val="24"/>
          <w:szCs w:val="24"/>
        </w:rPr>
        <w:t xml:space="preserve"> 日</w:t>
      </w:r>
    </w:p>
    <w:p>
      <w:pPr>
        <w:spacing w:line="400" w:lineRule="exact"/>
        <w:jc w:val="center"/>
        <w:rPr>
          <w:rFonts w:ascii="方正小标宋简体" w:eastAsia="方正小标宋简体"/>
          <w:color w:val="000000" w:themeColor="text1"/>
          <w:sz w:val="36"/>
          <w:szCs w:val="36"/>
          <w14:textFill>
            <w14:solidFill>
              <w14:schemeClr w14:val="tx1"/>
            </w14:solidFill>
          </w14:textFill>
        </w:rPr>
      </w:pPr>
    </w:p>
    <w:p>
      <w:pPr>
        <w:widowControl/>
        <w:jc w:val="left"/>
        <w:rPr>
          <w:rFonts w:ascii="方正小标宋简体" w:eastAsia="方正小标宋简体"/>
          <w:color w:val="000000" w:themeColor="text1"/>
          <w:sz w:val="36"/>
          <w:szCs w:val="36"/>
          <w14:textFill>
            <w14:solidFill>
              <w14:schemeClr w14:val="tx1"/>
            </w14:solidFill>
          </w14:textFill>
        </w:rPr>
      </w:pPr>
      <w:r>
        <w:rPr>
          <w:rFonts w:ascii="方正小标宋简体" w:eastAsia="方正小标宋简体"/>
          <w:color w:val="000000" w:themeColor="text1"/>
          <w:sz w:val="36"/>
          <w:szCs w:val="36"/>
          <w14:textFill>
            <w14:solidFill>
              <w14:schemeClr w14:val="tx1"/>
            </w14:solidFill>
          </w14:textFill>
        </w:rPr>
        <w:br w:type="page"/>
      </w: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第四章 投标文件样式</w:t>
      </w: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一 投标文件封面和材料袋格式</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项目编号</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投标内容</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授权委托人姓名</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授权委托人联系电话</w:t>
      </w:r>
      <w:r>
        <w:rPr>
          <w:rFonts w:hint="eastAsia"/>
          <w:b/>
          <w:color w:val="000000" w:themeColor="text1"/>
          <w:sz w:val="28"/>
          <w:szCs w:val="28"/>
          <w:u w:val="single"/>
          <w14:textFill>
            <w14:solidFill>
              <w14:schemeClr w14:val="tx1"/>
            </w14:solidFill>
          </w14:textFill>
        </w:rPr>
        <w:t>（含固定电话和手机）</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投标商传真</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投标商地址</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投标商电子邮箱</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投标商邮编</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投标时间</w:t>
      </w:r>
    </w:p>
    <w:p>
      <w:pPr>
        <w:spacing w:line="400" w:lineRule="exact"/>
        <w:rPr>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p>
    <w:p>
      <w:pPr>
        <w:spacing w:line="400" w:lineRule="exact"/>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二 投标函</w:t>
      </w:r>
    </w:p>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淮阴工学院招投标办公室：</w:t>
      </w:r>
    </w:p>
    <w:p>
      <w:pPr>
        <w:spacing w:line="400" w:lineRule="exact"/>
        <w:ind w:left="1" w:firstLine="564" w:firstLineChars="2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我方经仔细阅读研究项目招标文件（项目编号），已完全了解该文件中的所有条款及要求，决定参加投标，同时作出如下承诺：</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．我方与本项目及该项目相关人员之间均不存在可能影响招标公正性的任何利害关系。</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 xml:space="preserve">．我方愿按招标文件的要求提供货物和服务，投标货物及服务的投标总价为：（大写）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，（小写）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。该报价包含所有一切费用。</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．我方接受招标文件的所有条款、条件和</w:t>
      </w:r>
      <w:r>
        <w:rPr>
          <w:rFonts w:hint="eastAsia"/>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放弃对招标文件提出质疑的权利。</w:t>
      </w:r>
    </w:p>
    <w:p>
      <w:pPr>
        <w:spacing w:line="40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．我方同意按照招标文件的要求提供所有资料、数据或信息，并保证</w:t>
      </w:r>
      <w:r>
        <w:rPr>
          <w:rFonts w:hint="eastAsia"/>
          <w:color w:val="000000" w:themeColor="text1"/>
          <w:kern w:val="0"/>
          <w:sz w:val="24"/>
          <w:szCs w:val="24"/>
          <w14:textFill>
            <w14:solidFill>
              <w14:schemeClr w14:val="tx1"/>
            </w14:solidFill>
          </w14:textFill>
        </w:rPr>
        <w:t>所提供资料的真实性和投标行为的合法性。如有作假或违纪，同意接受</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取消投标资格、取消中标资格、没收履约保证金、</w:t>
      </w:r>
      <w:r>
        <w:rPr>
          <w:color w:val="000000" w:themeColor="text1"/>
          <w:kern w:val="0"/>
          <w:sz w:val="24"/>
          <w:szCs w:val="24"/>
          <w14:textFill>
            <w14:solidFill>
              <w14:schemeClr w14:val="tx1"/>
            </w14:solidFill>
          </w14:textFill>
        </w:rPr>
        <w:t>2</w:t>
      </w:r>
      <w:r>
        <w:rPr>
          <w:rFonts w:hint="eastAsia"/>
          <w:color w:val="000000" w:themeColor="text1"/>
          <w:kern w:val="0"/>
          <w:sz w:val="24"/>
          <w:szCs w:val="24"/>
          <w14:textFill>
            <w14:solidFill>
              <w14:schemeClr w14:val="tx1"/>
            </w14:solidFill>
          </w14:textFill>
        </w:rPr>
        <w:t>年内禁止参加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14:textFill>
            <w14:solidFill>
              <w14:schemeClr w14:val="tx1"/>
            </w14:solidFill>
          </w14:textFill>
        </w:rPr>
        <w:t>的采购活动</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等处罚。</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．我方</w:t>
      </w:r>
      <w:r>
        <w:rPr>
          <w:rFonts w:hint="eastAsia"/>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．我方如中标，将保证遵守招标文件对供应商的所有要求和规定，履行自己在投标文件中承诺的全部责任和义务。</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40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供应商名称：（公章）</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地址：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邮政编码：</w:t>
      </w:r>
    </w:p>
    <w:p>
      <w:pPr>
        <w:spacing w:line="40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电话：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传真：</w:t>
      </w:r>
    </w:p>
    <w:p>
      <w:pPr>
        <w:spacing w:line="400" w:lineRule="exact"/>
        <w:ind w:left="478" w:leftChars="228"/>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授权委托人（签名）：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电话（手机）</w:t>
      </w:r>
    </w:p>
    <w:p>
      <w:pPr>
        <w:spacing w:line="400" w:lineRule="exact"/>
        <w:ind w:left="478" w:leftChars="22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联系电子邮箱：</w:t>
      </w:r>
    </w:p>
    <w:p>
      <w:pPr>
        <w:spacing w:line="40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投标日期：</w:t>
      </w:r>
      <w:bookmarkStart w:id="1" w:name="OLE_LINK2"/>
      <w:bookmarkStart w:id="2" w:name="OLE_LINK1"/>
    </w:p>
    <w:p>
      <w:pPr>
        <w:widowControl/>
        <w:spacing w:line="400" w:lineRule="exact"/>
        <w:jc w:val="left"/>
        <w:rPr>
          <w:bCs/>
          <w:color w:val="000000" w:themeColor="text1"/>
          <w:sz w:val="24"/>
          <w:szCs w:val="24"/>
          <w14:textFill>
            <w14:solidFill>
              <w14:schemeClr w14:val="tx1"/>
            </w14:solidFill>
          </w14:textFill>
        </w:rPr>
      </w:pPr>
    </w:p>
    <w:bookmarkEnd w:id="1"/>
    <w:bookmarkEnd w:id="2"/>
    <w:p>
      <w:pPr>
        <w:snapToGrid w:val="0"/>
        <w:spacing w:line="400" w:lineRule="exact"/>
        <w:ind w:right="-350" w:rightChars="-167"/>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三 法定代表人资格证明</w:t>
      </w:r>
    </w:p>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致淮阴工学院招投标办公室：</w:t>
      </w:r>
    </w:p>
    <w:p>
      <w:pPr>
        <w:spacing w:line="400" w:lineRule="exact"/>
        <w:rPr>
          <w:color w:val="000000" w:themeColor="text1"/>
          <w:sz w:val="24"/>
          <w14:textFill>
            <w14:solidFill>
              <w14:schemeClr w14:val="tx1"/>
            </w14:solidFill>
          </w14:textFill>
        </w:rPr>
      </w:pP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单位名称：</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p>
    <w:p>
      <w:pPr>
        <w:widowControl/>
        <w:snapToGrid w:val="0"/>
        <w:spacing w:line="400" w:lineRule="exact"/>
        <w:ind w:left="359" w:leftChars="171" w:firstLine="120" w:firstLineChars="5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姓名：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性别：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职务：</w:t>
      </w:r>
    </w:p>
    <w:p>
      <w:pPr>
        <w:widowControl/>
        <w:snapToGrid w:val="0"/>
        <w:spacing w:line="400" w:lineRule="exact"/>
        <w:ind w:firstLine="480" w:firstLineChars="20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系</w:t>
      </w:r>
      <w:r>
        <w:rPr>
          <w:rFonts w:hint="eastAsia"/>
          <w:color w:val="000000" w:themeColor="text1"/>
          <w:kern w:val="0"/>
          <w:sz w:val="24"/>
          <w:szCs w:val="24"/>
          <w:u w:val="single"/>
          <w14:textFill>
            <w14:solidFill>
              <w14:schemeClr w14:val="tx1"/>
            </w14:solidFill>
          </w14:textFill>
        </w:rPr>
        <w:t>（投标人单位名称）</w:t>
      </w:r>
      <w:r>
        <w:rPr>
          <w:rFonts w:hint="eastAsia"/>
          <w:color w:val="000000" w:themeColor="text1"/>
          <w:kern w:val="0"/>
          <w:sz w:val="24"/>
          <w:szCs w:val="24"/>
          <w14:textFill>
            <w14:solidFill>
              <w14:schemeClr w14:val="tx1"/>
            </w14:solidFill>
          </w14:textFill>
        </w:rPr>
        <w:t>的法定代表人，</w:t>
      </w:r>
      <w:r>
        <w:rPr>
          <w:rFonts w:hint="eastAsia"/>
          <w:color w:val="000000" w:themeColor="text1"/>
          <w:sz w:val="24"/>
          <w:szCs w:val="24"/>
          <w14:textFill>
            <w14:solidFill>
              <w14:schemeClr w14:val="tx1"/>
            </w14:solidFill>
          </w14:textFill>
        </w:rPr>
        <w:t>以本公司名义</w:t>
      </w:r>
      <w:r>
        <w:rPr>
          <w:rFonts w:hint="eastAsia"/>
          <w:color w:val="000000" w:themeColor="text1"/>
          <w:kern w:val="0"/>
          <w:sz w:val="24"/>
          <w:szCs w:val="24"/>
          <w14:textFill>
            <w14:solidFill>
              <w14:schemeClr w14:val="tx1"/>
            </w14:solidFill>
          </w14:textFill>
        </w:rPr>
        <w:t>参加</w:t>
      </w:r>
      <w:r>
        <w:rPr>
          <w:rFonts w:hint="eastAsia"/>
          <w:color w:val="000000" w:themeColor="text1"/>
          <w:sz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（项目名称）</w:t>
      </w:r>
      <w:r>
        <w:rPr>
          <w:rFonts w:hint="eastAsia"/>
          <w:color w:val="000000" w:themeColor="text1"/>
          <w:kern w:val="0"/>
          <w:sz w:val="24"/>
          <w:szCs w:val="24"/>
          <w14:textFill>
            <w14:solidFill>
              <w14:schemeClr w14:val="tx1"/>
            </w14:solidFill>
          </w14:textFill>
        </w:rPr>
        <w:t>（项目编号：）投标活动，代表本公司签署投标文件、进行招标、进行合同谈判、签订合同和处理与之有关的一切事务。</w:t>
      </w:r>
    </w:p>
    <w:p>
      <w:pPr>
        <w:widowControl/>
        <w:snapToGrid w:val="0"/>
        <w:spacing w:line="400" w:lineRule="exact"/>
        <w:ind w:firstLine="600"/>
        <w:jc w:val="left"/>
        <w:rPr>
          <w:color w:val="000000" w:themeColor="text1"/>
          <w:kern w:val="0"/>
          <w:sz w:val="24"/>
          <w:szCs w:val="24"/>
          <w14:textFill>
            <w14:solidFill>
              <w14:schemeClr w14:val="tx1"/>
            </w14:solidFill>
          </w14:textFill>
        </w:rPr>
      </w:pPr>
    </w:p>
    <w:p>
      <w:pPr>
        <w:widowControl/>
        <w:snapToGrid w:val="0"/>
        <w:spacing w:line="400" w:lineRule="exact"/>
        <w:ind w:firstLine="6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特此证明。</w:t>
      </w:r>
    </w:p>
    <w:p>
      <w:pPr>
        <w:widowControl/>
        <w:snapToGrid w:val="0"/>
        <w:spacing w:line="400" w:lineRule="exact"/>
        <w:ind w:firstLine="600"/>
        <w:jc w:val="left"/>
        <w:rPr>
          <w:color w:val="000000" w:themeColor="text1"/>
          <w:kern w:val="0"/>
          <w:sz w:val="24"/>
          <w:szCs w:val="24"/>
          <w14:textFill>
            <w14:solidFill>
              <w14:schemeClr w14:val="tx1"/>
            </w14:solidFill>
          </w14:textFill>
        </w:rPr>
      </w:pPr>
    </w:p>
    <w:p>
      <w:pPr>
        <w:widowControl/>
        <w:snapToGrid w:val="0"/>
        <w:spacing w:line="40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投标人名称：</w:t>
      </w:r>
      <w:r>
        <w:rPr>
          <w:rFonts w:hint="eastAsia"/>
          <w:color w:val="000000" w:themeColor="text1"/>
          <w:kern w:val="0"/>
          <w:sz w:val="24"/>
          <w:szCs w:val="24"/>
          <w:u w:val="single"/>
          <w14:textFill>
            <w14:solidFill>
              <w14:schemeClr w14:val="tx1"/>
            </w14:solidFill>
          </w14:textFill>
        </w:rPr>
        <w:t>（公章）</w:t>
      </w:r>
    </w:p>
    <w:p>
      <w:pPr>
        <w:widowControl/>
        <w:snapToGrid w:val="0"/>
        <w:spacing w:line="40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400" w:lineRule="exact"/>
        <w:ind w:right="-350" w:rightChars="-167"/>
        <w:rPr>
          <w:color w:val="000000" w:themeColor="text1"/>
          <w:sz w:val="28"/>
          <w:szCs w:val="28"/>
          <w14:textFill>
            <w14:solidFill>
              <w14:schemeClr w14:val="tx1"/>
            </w14:solidFill>
          </w14:textFill>
        </w:rPr>
      </w:pPr>
    </w:p>
    <w:p>
      <w:pPr>
        <w:spacing w:line="400" w:lineRule="exact"/>
        <w:ind w:right="32"/>
        <w:jc w:val="center"/>
        <w:rPr>
          <w:b/>
          <w:bCs/>
          <w:color w:val="000000" w:themeColor="text1"/>
          <w:sz w:val="30"/>
          <w14:textFill>
            <w14:solidFill>
              <w14:schemeClr w14:val="tx1"/>
            </w14:solidFill>
          </w14:textFill>
        </w:rPr>
      </w:pPr>
    </w:p>
    <w:p>
      <w:pPr>
        <w:spacing w:line="400" w:lineRule="exact"/>
        <w:ind w:right="32"/>
        <w:jc w:val="center"/>
        <w:rPr>
          <w:b/>
          <w:bCs/>
          <w:color w:val="000000" w:themeColor="text1"/>
          <w:sz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KTeI2QAAAAoBAAAPAAAAAAAAAAEAIAAAACIAAABkcnMvZG93&#10;bnJldi54bWxQSwECFAAUAAAACACHTuJAprhaajgCAACVBAAADgAAAAAAAAABACAAAAAoAQAAZHJz&#10;L2Uyb0RvYy54bWxQSwUGAAAAAAYABgBZAQAA0gU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400" w:lineRule="exact"/>
        <w:ind w:right="32"/>
        <w:jc w:val="center"/>
        <w:rPr>
          <w:b/>
          <w:bCs/>
          <w:color w:val="000000" w:themeColor="text1"/>
          <w:sz w:val="30"/>
          <w14:textFill>
            <w14:solidFill>
              <w14:schemeClr w14:val="tx1"/>
            </w14:solidFill>
          </w14:textFill>
        </w:rPr>
      </w:pPr>
    </w:p>
    <w:p>
      <w:pPr>
        <w:spacing w:line="400" w:lineRule="exact"/>
        <w:ind w:right="32"/>
        <w:jc w:val="center"/>
        <w:rPr>
          <w:rFonts w:ascii="方正小标宋简体" w:eastAsia="方正小标宋简体"/>
          <w:bCs/>
          <w:color w:val="000000" w:themeColor="text1"/>
          <w:sz w:val="32"/>
          <w:szCs w:val="32"/>
          <w14:textFill>
            <w14:solidFill>
              <w14:schemeClr w14:val="tx1"/>
            </w14:solidFill>
          </w14:textFill>
        </w:rPr>
      </w:pPr>
      <w:r>
        <w:rPr>
          <w:b/>
          <w:bCs/>
          <w:color w:val="000000" w:themeColor="text1"/>
          <w:sz w:val="30"/>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四 法定代表人授权书</w:t>
      </w:r>
    </w:p>
    <w:p>
      <w:pPr>
        <w:spacing w:line="400" w:lineRule="exact"/>
        <w:ind w:right="32"/>
        <w:jc w:val="center"/>
        <w:rPr>
          <w:b/>
          <w:bCs/>
          <w:color w:val="000000" w:themeColor="text1"/>
          <w:sz w:val="30"/>
          <w:szCs w:val="30"/>
          <w14:textFill>
            <w14:solidFill>
              <w14:schemeClr w14:val="tx1"/>
            </w14:solidFill>
          </w14:textFill>
        </w:rPr>
      </w:pPr>
    </w:p>
    <w:p>
      <w:pPr>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致淮阴工学院招投标办公室：</w:t>
      </w:r>
    </w:p>
    <w:p>
      <w:pPr>
        <w:spacing w:line="40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委托方：</w:t>
      </w:r>
    </w:p>
    <w:p>
      <w:pPr>
        <w:spacing w:line="40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地址：</w:t>
      </w:r>
    </w:p>
    <w:p>
      <w:pPr>
        <w:spacing w:line="40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法定代表人姓名（签章）：</w:t>
      </w:r>
    </w:p>
    <w:p>
      <w:pPr>
        <w:spacing w:line="40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授权委托人姓名（签名）：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性别：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职务：</w:t>
      </w:r>
    </w:p>
    <w:p>
      <w:pPr>
        <w:spacing w:line="40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授权委托人身份证号码：</w:t>
      </w:r>
    </w:p>
    <w:p>
      <w:pPr>
        <w:spacing w:line="400" w:lineRule="exact"/>
        <w:ind w:right="34"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兹委托</w:t>
      </w:r>
      <w:r>
        <w:rPr>
          <w:rFonts w:hint="eastAsia"/>
          <w:color w:val="000000" w:themeColor="text1"/>
          <w:sz w:val="24"/>
          <w:szCs w:val="24"/>
          <w14:textFill>
            <w14:solidFill>
              <w14:schemeClr w14:val="tx1"/>
            </w14:solidFill>
          </w14:textFill>
        </w:rPr>
        <w:t>代表我公司</w:t>
      </w:r>
      <w:r>
        <w:rPr>
          <w:rFonts w:hint="eastAsia"/>
          <w:color w:val="000000" w:themeColor="text1"/>
          <w:kern w:val="0"/>
          <w:sz w:val="24"/>
          <w:szCs w:val="24"/>
          <w14:textFill>
            <w14:solidFill>
              <w14:schemeClr w14:val="tx1"/>
            </w14:solidFill>
          </w14:textFill>
        </w:rPr>
        <w:t>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 xml:space="preserve">（项目名称） </w:t>
      </w:r>
      <w:r>
        <w:rPr>
          <w:color w:val="000000" w:themeColor="text1"/>
          <w:kern w:val="0"/>
          <w:sz w:val="24"/>
          <w:szCs w:val="24"/>
          <w:u w:val="single"/>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（项目编号：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）投标活动。该</w:t>
      </w:r>
      <w:r>
        <w:rPr>
          <w:rFonts w:hint="eastAsia"/>
          <w:color w:val="000000" w:themeColor="text1"/>
          <w:sz w:val="24"/>
          <w:szCs w:val="24"/>
          <w14:textFill>
            <w14:solidFill>
              <w14:schemeClr w14:val="tx1"/>
            </w14:solidFill>
          </w14:textFill>
        </w:rPr>
        <w:t>授权委托人有权在该项招标活动中，</w:t>
      </w:r>
      <w:r>
        <w:rPr>
          <w:rFonts w:hint="eastAsia"/>
          <w:color w:val="000000" w:themeColor="text1"/>
          <w:kern w:val="0"/>
          <w:sz w:val="24"/>
          <w:szCs w:val="24"/>
          <w14:textFill>
            <w14:solidFill>
              <w14:schemeClr w14:val="tx1"/>
            </w14:solidFill>
          </w14:textFill>
        </w:rPr>
        <w:t>代表我公司签署投标函和投标文件，与采购人协商、澄清、解释，进行合同谈判、签订合同，并处理与该项目有关的一切事务。</w:t>
      </w:r>
    </w:p>
    <w:p>
      <w:pPr>
        <w:spacing w:line="40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授权委托人在办理上述事宜过程中以自己名义所签署的所有文件，我公司均予以承认。授权委托人无转委托权。</w:t>
      </w:r>
    </w:p>
    <w:p>
      <w:pPr>
        <w:spacing w:line="40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授权期限：至上述事宜处理完毕止。</w:t>
      </w:r>
    </w:p>
    <w:p>
      <w:pPr>
        <w:spacing w:line="400" w:lineRule="exact"/>
        <w:ind w:right="34"/>
        <w:rPr>
          <w:color w:val="000000" w:themeColor="text1"/>
          <w:sz w:val="24"/>
          <w:szCs w:val="24"/>
          <w14:textFill>
            <w14:solidFill>
              <w14:schemeClr w14:val="tx1"/>
            </w14:solidFill>
          </w14:textFill>
        </w:rPr>
      </w:pPr>
    </w:p>
    <w:p>
      <w:pPr>
        <w:widowControl/>
        <w:snapToGrid w:val="0"/>
        <w:spacing w:line="40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委托人名称：</w:t>
      </w:r>
      <w:r>
        <w:rPr>
          <w:rFonts w:hint="eastAsia"/>
          <w:color w:val="000000" w:themeColor="text1"/>
          <w:kern w:val="0"/>
          <w:sz w:val="24"/>
          <w:szCs w:val="24"/>
          <w:u w:val="single"/>
          <w14:textFill>
            <w14:solidFill>
              <w14:schemeClr w14:val="tx1"/>
            </w14:solidFill>
          </w14:textFill>
        </w:rPr>
        <w:t>（公章）</w:t>
      </w:r>
    </w:p>
    <w:p>
      <w:pPr>
        <w:widowControl/>
        <w:snapToGrid w:val="0"/>
        <w:spacing w:line="40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400" w:lineRule="exact"/>
        <w:ind w:right="-350" w:rightChars="-167"/>
        <w:rPr>
          <w:color w:val="000000" w:themeColor="text1"/>
          <w:sz w:val="28"/>
          <w:szCs w:val="28"/>
          <w14:textFill>
            <w14:solidFill>
              <w14:schemeClr w14:val="tx1"/>
            </w14:solidFill>
          </w14:textFill>
        </w:rPr>
      </w:pPr>
    </w:p>
    <w:p>
      <w:pPr>
        <w:spacing w:line="400" w:lineRule="exact"/>
        <w:ind w:right="-350" w:rightChars="-167"/>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gul2PXAAAABwEAAA8AAAAAAAAAAQAgAAAAIgAAAGRycy9kb3du&#10;cmV2LnhtbFBLAQIUABQAAAAIAIdO4kD5Zcv4OQIAAJUEAAAOAAAAAAAAAAEAIAAAACYBAABkcnMv&#10;ZTJvRG9jLnhtbFBLBQYAAAAABgAGAFkBAADRBQA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Wym2gAAAAoBAAAPAAAAAAAAAAEAIAAAACIAAABkcnMvZG93&#10;bnJldi54bWxQSwECFAAUAAAACACHTuJAJtnvETcCAACVBAAADgAAAAAAAAABACAAAAApAQAAZHJz&#10;L2Uyb0RvYy54bWxQSwUGAAAAAAYABgBZAQAA0g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400" w:lineRule="exact"/>
        <w:ind w:right="-350" w:rightChars="-167"/>
        <w:rPr>
          <w:color w:val="000000" w:themeColor="text1"/>
          <w:sz w:val="28"/>
          <w:szCs w:val="28"/>
          <w14:textFill>
            <w14:solidFill>
              <w14:schemeClr w14:val="tx1"/>
            </w14:solidFill>
          </w14:textFill>
        </w:rPr>
      </w:pPr>
    </w:p>
    <w:p>
      <w:pPr>
        <w:spacing w:line="400" w:lineRule="exact"/>
        <w:ind w:right="-350" w:rightChars="-167"/>
        <w:rPr>
          <w:color w:val="000000" w:themeColor="text1"/>
          <w:sz w:val="28"/>
          <w:szCs w:val="28"/>
          <w14:textFill>
            <w14:solidFill>
              <w14:schemeClr w14:val="tx1"/>
            </w14:solidFill>
          </w14:textFill>
        </w:rPr>
      </w:pPr>
    </w:p>
    <w:p>
      <w:pPr>
        <w:spacing w:line="400" w:lineRule="exact"/>
        <w:ind w:right="-350" w:rightChars="-167"/>
        <w:rPr>
          <w:color w:val="000000" w:themeColor="text1"/>
          <w:sz w:val="28"/>
          <w:szCs w:val="28"/>
          <w14:textFill>
            <w14:solidFill>
              <w14:schemeClr w14:val="tx1"/>
            </w14:solidFill>
          </w14:textFill>
        </w:rPr>
      </w:pPr>
    </w:p>
    <w:p>
      <w:pPr>
        <w:spacing w:line="400" w:lineRule="exact"/>
        <w:jc w:val="center"/>
        <w:rPr>
          <w:rFonts w:ascii="方正小标宋简体" w:eastAsia="方正小标宋简体"/>
          <w:color w:val="000000" w:themeColor="text1"/>
          <w:sz w:val="32"/>
          <w:szCs w:val="32"/>
          <w14:textFill>
            <w14:solidFill>
              <w14:schemeClr w14:val="tx1"/>
            </w14:solidFill>
          </w14:textFill>
        </w:rPr>
      </w:pPr>
      <w:r>
        <w:rPr>
          <w:color w:val="000000" w:themeColor="text1"/>
          <w:sz w:val="28"/>
          <w:szCs w:val="28"/>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五 报价明细表</w:t>
      </w:r>
    </w:p>
    <w:p>
      <w:pPr>
        <w:spacing w:line="400" w:lineRule="exact"/>
        <w:ind w:right="-247" w:rightChars="-118" w:firstLine="6123" w:firstLineChars="2097"/>
        <w:rPr>
          <w:color w:val="000000" w:themeColor="text1"/>
          <w:sz w:val="24"/>
          <w14:textFill>
            <w14:solidFill>
              <w14:schemeClr w14:val="tx1"/>
            </w14:solidFill>
          </w14:textFill>
        </w:rPr>
      </w:pPr>
      <w:r>
        <w:rPr>
          <w:rFonts w:hint="eastAsia"/>
          <w:color w:val="000000" w:themeColor="text1"/>
          <w:spacing w:val="20"/>
          <w:w w:val="90"/>
          <w:sz w:val="28"/>
          <w14:textFill>
            <w14:solidFill>
              <w14:schemeClr w14:val="tx1"/>
            </w14:solidFill>
          </w14:textFill>
        </w:rPr>
        <w:t>单位</w:t>
      </w:r>
      <w:r>
        <w:rPr>
          <w:color w:val="000000" w:themeColor="text1"/>
          <w:spacing w:val="20"/>
          <w:w w:val="90"/>
          <w:sz w:val="28"/>
          <w14:textFill>
            <w14:solidFill>
              <w14:schemeClr w14:val="tx1"/>
            </w14:solidFill>
          </w14:textFill>
        </w:rPr>
        <w:t>:</w:t>
      </w:r>
      <w:r>
        <w:rPr>
          <w:rFonts w:hint="eastAsia"/>
          <w:color w:val="000000" w:themeColor="text1"/>
          <w:spacing w:val="20"/>
          <w:w w:val="90"/>
          <w:sz w:val="28"/>
          <w14:textFill>
            <w14:solidFill>
              <w14:schemeClr w14:val="tx1"/>
            </w14:solidFill>
          </w14:textFill>
        </w:rPr>
        <w:t>人民币</w:t>
      </w:r>
      <w:r>
        <w:rPr>
          <w:color w:val="000000" w:themeColor="text1"/>
          <w:spacing w:val="20"/>
          <w:w w:val="90"/>
          <w:sz w:val="28"/>
          <w14:textFill>
            <w14:solidFill>
              <w14:schemeClr w14:val="tx1"/>
            </w14:solidFill>
          </w14:textFill>
        </w:rPr>
        <w:t>/</w:t>
      </w:r>
      <w:r>
        <w:rPr>
          <w:rFonts w:hint="eastAsia"/>
          <w:color w:val="000000" w:themeColor="text1"/>
          <w:spacing w:val="20"/>
          <w:w w:val="90"/>
          <w:sz w:val="28"/>
          <w14:textFill>
            <w14:solidFill>
              <w14:schemeClr w14:val="tx1"/>
            </w14:solidFill>
          </w14:textFill>
        </w:rPr>
        <w:t>元</w:t>
      </w:r>
    </w:p>
    <w:tbl>
      <w:tblPr>
        <w:tblStyle w:val="14"/>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338"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货物名称</w:t>
            </w:r>
          </w:p>
        </w:tc>
        <w:tc>
          <w:tcPr>
            <w:tcW w:w="2794"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品牌、规格型号、原产地、生产商、质保期</w:t>
            </w:r>
          </w:p>
        </w:tc>
        <w:tc>
          <w:tcPr>
            <w:tcW w:w="1260" w:type="dxa"/>
            <w:vAlign w:val="center"/>
          </w:tcPr>
          <w:p>
            <w:pPr>
              <w:spacing w:line="400" w:lineRule="exact"/>
              <w:ind w:left="105" w:hanging="105" w:hanging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单价（元）</w:t>
            </w:r>
          </w:p>
        </w:tc>
        <w:tc>
          <w:tcPr>
            <w:tcW w:w="900" w:type="dxa"/>
            <w:vAlign w:val="center"/>
          </w:tcPr>
          <w:p>
            <w:pPr>
              <w:spacing w:line="400" w:lineRule="exact"/>
              <w:ind w:firstLine="105" w:firstLine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数量</w:t>
            </w:r>
          </w:p>
        </w:tc>
        <w:tc>
          <w:tcPr>
            <w:tcW w:w="900"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400" w:lineRule="exact"/>
              <w:jc w:val="center"/>
              <w:rPr>
                <w:color w:val="000000" w:themeColor="text1"/>
                <w:szCs w:val="21"/>
                <w14:textFill>
                  <w14:solidFill>
                    <w14:schemeClr w14:val="tx1"/>
                  </w14:solidFill>
                </w14:textFill>
              </w:rPr>
            </w:pPr>
          </w:p>
        </w:tc>
        <w:tc>
          <w:tcPr>
            <w:tcW w:w="2338" w:type="dxa"/>
            <w:vAlign w:val="center"/>
          </w:tcPr>
          <w:p>
            <w:pPr>
              <w:spacing w:line="400" w:lineRule="exact"/>
              <w:jc w:val="center"/>
              <w:rPr>
                <w:color w:val="000000" w:themeColor="text1"/>
                <w:szCs w:val="21"/>
                <w14:textFill>
                  <w14:solidFill>
                    <w14:schemeClr w14:val="tx1"/>
                  </w14:solidFill>
                </w14:textFill>
              </w:rPr>
            </w:pPr>
          </w:p>
        </w:tc>
        <w:tc>
          <w:tcPr>
            <w:tcW w:w="2794" w:type="dxa"/>
            <w:vAlign w:val="center"/>
          </w:tcPr>
          <w:p>
            <w:pPr>
              <w:spacing w:line="400" w:lineRule="exact"/>
              <w:jc w:val="center"/>
              <w:rPr>
                <w:color w:val="000000" w:themeColor="text1"/>
                <w:szCs w:val="21"/>
                <w14:textFill>
                  <w14:solidFill>
                    <w14:schemeClr w14:val="tx1"/>
                  </w14:solidFill>
                </w14:textFill>
              </w:rPr>
            </w:pPr>
          </w:p>
        </w:tc>
        <w:tc>
          <w:tcPr>
            <w:tcW w:w="1260" w:type="dxa"/>
            <w:vAlign w:val="center"/>
          </w:tcPr>
          <w:p>
            <w:pPr>
              <w:spacing w:line="400" w:lineRule="exact"/>
              <w:jc w:val="center"/>
              <w:rPr>
                <w:color w:val="000000" w:themeColor="text1"/>
                <w:szCs w:val="21"/>
                <w14:textFill>
                  <w14:solidFill>
                    <w14:schemeClr w14:val="tx1"/>
                  </w14:solidFill>
                </w14:textFill>
              </w:rPr>
            </w:pPr>
          </w:p>
        </w:tc>
        <w:tc>
          <w:tcPr>
            <w:tcW w:w="900" w:type="dxa"/>
            <w:vAlign w:val="center"/>
          </w:tcPr>
          <w:p>
            <w:pPr>
              <w:spacing w:line="400" w:lineRule="exact"/>
              <w:jc w:val="center"/>
              <w:rPr>
                <w:color w:val="000000" w:themeColor="text1"/>
                <w:szCs w:val="21"/>
                <w14:textFill>
                  <w14:solidFill>
                    <w14:schemeClr w14:val="tx1"/>
                  </w14:solidFill>
                </w14:textFill>
              </w:rPr>
            </w:pPr>
          </w:p>
        </w:tc>
        <w:tc>
          <w:tcPr>
            <w:tcW w:w="900" w:type="dxa"/>
            <w:vAlign w:val="center"/>
          </w:tcPr>
          <w:p>
            <w:pPr>
              <w:spacing w:line="40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400" w:lineRule="exact"/>
              <w:jc w:val="center"/>
              <w:rPr>
                <w:color w:val="000000" w:themeColor="text1"/>
                <w:szCs w:val="21"/>
                <w14:textFill>
                  <w14:solidFill>
                    <w14:schemeClr w14:val="tx1"/>
                  </w14:solidFill>
                </w14:textFill>
              </w:rPr>
            </w:pPr>
          </w:p>
        </w:tc>
        <w:tc>
          <w:tcPr>
            <w:tcW w:w="2338" w:type="dxa"/>
            <w:vAlign w:val="center"/>
          </w:tcPr>
          <w:p>
            <w:pPr>
              <w:spacing w:line="400" w:lineRule="exact"/>
              <w:jc w:val="center"/>
              <w:rPr>
                <w:color w:val="000000" w:themeColor="text1"/>
                <w:szCs w:val="21"/>
                <w14:textFill>
                  <w14:solidFill>
                    <w14:schemeClr w14:val="tx1"/>
                  </w14:solidFill>
                </w14:textFill>
              </w:rPr>
            </w:pPr>
          </w:p>
        </w:tc>
        <w:tc>
          <w:tcPr>
            <w:tcW w:w="2794" w:type="dxa"/>
            <w:vAlign w:val="center"/>
          </w:tcPr>
          <w:p>
            <w:pPr>
              <w:spacing w:line="400" w:lineRule="exact"/>
              <w:jc w:val="center"/>
              <w:rPr>
                <w:color w:val="000000" w:themeColor="text1"/>
                <w:szCs w:val="21"/>
                <w14:textFill>
                  <w14:solidFill>
                    <w14:schemeClr w14:val="tx1"/>
                  </w14:solidFill>
                </w14:textFill>
              </w:rPr>
            </w:pPr>
          </w:p>
        </w:tc>
        <w:tc>
          <w:tcPr>
            <w:tcW w:w="1260" w:type="dxa"/>
            <w:vAlign w:val="center"/>
          </w:tcPr>
          <w:p>
            <w:pPr>
              <w:spacing w:line="400" w:lineRule="exact"/>
              <w:jc w:val="center"/>
              <w:rPr>
                <w:color w:val="000000" w:themeColor="text1"/>
                <w:szCs w:val="21"/>
                <w14:textFill>
                  <w14:solidFill>
                    <w14:schemeClr w14:val="tx1"/>
                  </w14:solidFill>
                </w14:textFill>
              </w:rPr>
            </w:pPr>
          </w:p>
        </w:tc>
        <w:tc>
          <w:tcPr>
            <w:tcW w:w="900" w:type="dxa"/>
            <w:vAlign w:val="center"/>
          </w:tcPr>
          <w:p>
            <w:pPr>
              <w:spacing w:line="400" w:lineRule="exact"/>
              <w:jc w:val="center"/>
              <w:rPr>
                <w:color w:val="000000" w:themeColor="text1"/>
                <w:szCs w:val="21"/>
                <w14:textFill>
                  <w14:solidFill>
                    <w14:schemeClr w14:val="tx1"/>
                  </w14:solidFill>
                </w14:textFill>
              </w:rPr>
            </w:pPr>
          </w:p>
        </w:tc>
        <w:tc>
          <w:tcPr>
            <w:tcW w:w="900" w:type="dxa"/>
            <w:vAlign w:val="center"/>
          </w:tcPr>
          <w:p>
            <w:pPr>
              <w:spacing w:line="40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400" w:lineRule="exact"/>
              <w:jc w:val="center"/>
              <w:rPr>
                <w:color w:val="000000" w:themeColor="text1"/>
                <w:szCs w:val="21"/>
                <w14:textFill>
                  <w14:solidFill>
                    <w14:schemeClr w14:val="tx1"/>
                  </w14:solidFill>
                </w14:textFill>
              </w:rPr>
            </w:pPr>
          </w:p>
        </w:tc>
        <w:tc>
          <w:tcPr>
            <w:tcW w:w="2338" w:type="dxa"/>
            <w:vAlign w:val="center"/>
          </w:tcPr>
          <w:p>
            <w:pPr>
              <w:spacing w:line="400" w:lineRule="exact"/>
              <w:jc w:val="center"/>
              <w:rPr>
                <w:color w:val="000000" w:themeColor="text1"/>
                <w:szCs w:val="21"/>
                <w14:textFill>
                  <w14:solidFill>
                    <w14:schemeClr w14:val="tx1"/>
                  </w14:solidFill>
                </w14:textFill>
              </w:rPr>
            </w:pPr>
          </w:p>
        </w:tc>
        <w:tc>
          <w:tcPr>
            <w:tcW w:w="2794" w:type="dxa"/>
            <w:vAlign w:val="center"/>
          </w:tcPr>
          <w:p>
            <w:pPr>
              <w:spacing w:line="400" w:lineRule="exact"/>
              <w:jc w:val="center"/>
              <w:rPr>
                <w:color w:val="000000" w:themeColor="text1"/>
                <w:szCs w:val="21"/>
                <w14:textFill>
                  <w14:solidFill>
                    <w14:schemeClr w14:val="tx1"/>
                  </w14:solidFill>
                </w14:textFill>
              </w:rPr>
            </w:pPr>
          </w:p>
        </w:tc>
        <w:tc>
          <w:tcPr>
            <w:tcW w:w="1260" w:type="dxa"/>
            <w:vAlign w:val="center"/>
          </w:tcPr>
          <w:p>
            <w:pPr>
              <w:spacing w:line="400" w:lineRule="exact"/>
              <w:jc w:val="center"/>
              <w:rPr>
                <w:color w:val="000000" w:themeColor="text1"/>
                <w:szCs w:val="21"/>
                <w14:textFill>
                  <w14:solidFill>
                    <w14:schemeClr w14:val="tx1"/>
                  </w14:solidFill>
                </w14:textFill>
              </w:rPr>
            </w:pPr>
          </w:p>
        </w:tc>
        <w:tc>
          <w:tcPr>
            <w:tcW w:w="900" w:type="dxa"/>
            <w:vAlign w:val="center"/>
          </w:tcPr>
          <w:p>
            <w:pPr>
              <w:spacing w:line="400" w:lineRule="exact"/>
              <w:jc w:val="center"/>
              <w:rPr>
                <w:color w:val="000000" w:themeColor="text1"/>
                <w:szCs w:val="21"/>
                <w14:textFill>
                  <w14:solidFill>
                    <w14:schemeClr w14:val="tx1"/>
                  </w14:solidFill>
                </w14:textFill>
              </w:rPr>
            </w:pPr>
          </w:p>
        </w:tc>
        <w:tc>
          <w:tcPr>
            <w:tcW w:w="900" w:type="dxa"/>
            <w:vAlign w:val="center"/>
          </w:tcPr>
          <w:p>
            <w:pPr>
              <w:spacing w:line="40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400" w:lineRule="exact"/>
              <w:jc w:val="center"/>
              <w:rPr>
                <w:color w:val="000000" w:themeColor="text1"/>
                <w:szCs w:val="21"/>
                <w14:textFill>
                  <w14:solidFill>
                    <w14:schemeClr w14:val="tx1"/>
                  </w14:solidFill>
                </w14:textFill>
              </w:rPr>
            </w:pPr>
          </w:p>
        </w:tc>
        <w:tc>
          <w:tcPr>
            <w:tcW w:w="2338" w:type="dxa"/>
            <w:vAlign w:val="center"/>
          </w:tcPr>
          <w:p>
            <w:pPr>
              <w:spacing w:line="400" w:lineRule="exact"/>
              <w:jc w:val="center"/>
              <w:rPr>
                <w:color w:val="000000" w:themeColor="text1"/>
                <w:szCs w:val="21"/>
                <w14:textFill>
                  <w14:solidFill>
                    <w14:schemeClr w14:val="tx1"/>
                  </w14:solidFill>
                </w14:textFill>
              </w:rPr>
            </w:pPr>
          </w:p>
        </w:tc>
        <w:tc>
          <w:tcPr>
            <w:tcW w:w="2794" w:type="dxa"/>
            <w:vAlign w:val="center"/>
          </w:tcPr>
          <w:p>
            <w:pPr>
              <w:spacing w:line="400" w:lineRule="exact"/>
              <w:jc w:val="center"/>
              <w:rPr>
                <w:color w:val="000000" w:themeColor="text1"/>
                <w:szCs w:val="21"/>
                <w14:textFill>
                  <w14:solidFill>
                    <w14:schemeClr w14:val="tx1"/>
                  </w14:solidFill>
                </w14:textFill>
              </w:rPr>
            </w:pPr>
          </w:p>
        </w:tc>
        <w:tc>
          <w:tcPr>
            <w:tcW w:w="1260" w:type="dxa"/>
            <w:vAlign w:val="center"/>
          </w:tcPr>
          <w:p>
            <w:pPr>
              <w:spacing w:line="400" w:lineRule="exact"/>
              <w:jc w:val="center"/>
              <w:rPr>
                <w:color w:val="000000" w:themeColor="text1"/>
                <w:szCs w:val="21"/>
                <w14:textFill>
                  <w14:solidFill>
                    <w14:schemeClr w14:val="tx1"/>
                  </w14:solidFill>
                </w14:textFill>
              </w:rPr>
            </w:pPr>
          </w:p>
        </w:tc>
        <w:tc>
          <w:tcPr>
            <w:tcW w:w="900" w:type="dxa"/>
            <w:vAlign w:val="center"/>
          </w:tcPr>
          <w:p>
            <w:pPr>
              <w:spacing w:line="400" w:lineRule="exact"/>
              <w:jc w:val="center"/>
              <w:rPr>
                <w:color w:val="000000" w:themeColor="text1"/>
                <w:szCs w:val="21"/>
                <w14:textFill>
                  <w14:solidFill>
                    <w14:schemeClr w14:val="tx1"/>
                  </w14:solidFill>
                </w14:textFill>
              </w:rPr>
            </w:pPr>
          </w:p>
        </w:tc>
        <w:tc>
          <w:tcPr>
            <w:tcW w:w="900" w:type="dxa"/>
            <w:vAlign w:val="center"/>
          </w:tcPr>
          <w:p>
            <w:pPr>
              <w:spacing w:line="40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400" w:lineRule="exact"/>
              <w:jc w:val="center"/>
              <w:rPr>
                <w:color w:val="000000" w:themeColor="text1"/>
                <w:szCs w:val="21"/>
                <w14:textFill>
                  <w14:solidFill>
                    <w14:schemeClr w14:val="tx1"/>
                  </w14:solidFill>
                </w14:textFill>
              </w:rPr>
            </w:pPr>
          </w:p>
        </w:tc>
        <w:tc>
          <w:tcPr>
            <w:tcW w:w="2338" w:type="dxa"/>
            <w:vAlign w:val="center"/>
          </w:tcPr>
          <w:p>
            <w:pPr>
              <w:spacing w:line="400" w:lineRule="exact"/>
              <w:jc w:val="center"/>
              <w:rPr>
                <w:color w:val="000000" w:themeColor="text1"/>
                <w:szCs w:val="21"/>
                <w14:textFill>
                  <w14:solidFill>
                    <w14:schemeClr w14:val="tx1"/>
                  </w14:solidFill>
                </w14:textFill>
              </w:rPr>
            </w:pPr>
          </w:p>
        </w:tc>
        <w:tc>
          <w:tcPr>
            <w:tcW w:w="2794" w:type="dxa"/>
            <w:vAlign w:val="center"/>
          </w:tcPr>
          <w:p>
            <w:pPr>
              <w:spacing w:line="400" w:lineRule="exact"/>
              <w:jc w:val="center"/>
              <w:rPr>
                <w:color w:val="000000" w:themeColor="text1"/>
                <w:szCs w:val="21"/>
                <w14:textFill>
                  <w14:solidFill>
                    <w14:schemeClr w14:val="tx1"/>
                  </w14:solidFill>
                </w14:textFill>
              </w:rPr>
            </w:pPr>
          </w:p>
        </w:tc>
        <w:tc>
          <w:tcPr>
            <w:tcW w:w="1260" w:type="dxa"/>
            <w:vAlign w:val="center"/>
          </w:tcPr>
          <w:p>
            <w:pPr>
              <w:spacing w:line="400" w:lineRule="exact"/>
              <w:jc w:val="center"/>
              <w:rPr>
                <w:color w:val="000000" w:themeColor="text1"/>
                <w:szCs w:val="21"/>
                <w14:textFill>
                  <w14:solidFill>
                    <w14:schemeClr w14:val="tx1"/>
                  </w14:solidFill>
                </w14:textFill>
              </w:rPr>
            </w:pPr>
          </w:p>
        </w:tc>
        <w:tc>
          <w:tcPr>
            <w:tcW w:w="900" w:type="dxa"/>
            <w:vAlign w:val="center"/>
          </w:tcPr>
          <w:p>
            <w:pPr>
              <w:spacing w:line="400" w:lineRule="exact"/>
              <w:jc w:val="center"/>
              <w:rPr>
                <w:color w:val="000000" w:themeColor="text1"/>
                <w:szCs w:val="21"/>
                <w14:textFill>
                  <w14:solidFill>
                    <w14:schemeClr w14:val="tx1"/>
                  </w14:solidFill>
                </w14:textFill>
              </w:rPr>
            </w:pPr>
          </w:p>
        </w:tc>
        <w:tc>
          <w:tcPr>
            <w:tcW w:w="900" w:type="dxa"/>
            <w:vAlign w:val="center"/>
          </w:tcPr>
          <w:p>
            <w:pPr>
              <w:spacing w:line="40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4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投标总报价（人民币大写）：元（￥）</w:t>
            </w:r>
          </w:p>
        </w:tc>
      </w:tr>
    </w:tbl>
    <w:p>
      <w:pPr>
        <w:spacing w:line="400" w:lineRule="exact"/>
        <w:rPr>
          <w:color w:val="000000" w:themeColor="text1"/>
          <w:sz w:val="24"/>
          <w14:textFill>
            <w14:solidFill>
              <w14:schemeClr w14:val="tx1"/>
            </w14:solidFill>
          </w14:textFill>
        </w:rPr>
      </w:pPr>
      <w:r>
        <w:rPr>
          <w:rFonts w:hint="eastAsia"/>
          <w:color w:val="000000" w:themeColor="text1"/>
          <w:kern w:val="0"/>
          <w:sz w:val="24"/>
          <w:szCs w:val="24"/>
          <w14:textFill>
            <w14:solidFill>
              <w14:schemeClr w14:val="tx1"/>
            </w14:solidFill>
          </w14:textFill>
        </w:rPr>
        <w:t>备注：如包含附件、辅材，必须列明所需附件、辅材具体种类、数量。</w:t>
      </w:r>
    </w:p>
    <w:p>
      <w:pPr>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400" w:lineRule="exact"/>
        <w:rPr>
          <w:color w:val="000000" w:themeColor="text1"/>
          <w:sz w:val="24"/>
          <w:szCs w:val="24"/>
          <w14:textFill>
            <w14:solidFill>
              <w14:schemeClr w14:val="tx1"/>
            </w14:solidFill>
          </w14:textFill>
        </w:rPr>
      </w:pPr>
    </w:p>
    <w:p>
      <w:pPr>
        <w:spacing w:line="40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40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400" w:lineRule="exact"/>
        <w:rPr>
          <w:b/>
          <w:color w:val="000000" w:themeColor="text1"/>
          <w:sz w:val="24"/>
          <w14:textFill>
            <w14:solidFill>
              <w14:schemeClr w14:val="tx1"/>
            </w14:solidFill>
          </w14:textFill>
        </w:rPr>
      </w:pPr>
    </w:p>
    <w:p>
      <w:pPr>
        <w:spacing w:line="400" w:lineRule="exac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注：</w:t>
      </w:r>
    </w:p>
    <w:p>
      <w:pPr>
        <w:spacing w:line="4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所有价格用人民币报价。</w:t>
      </w:r>
    </w:p>
    <w:p>
      <w:pPr>
        <w:spacing w:line="4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投标报价为与采购项目有关的全部费用之和，以后不得追加任何费用。</w:t>
      </w:r>
    </w:p>
    <w:p>
      <w:pPr>
        <w:spacing w:line="4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如果单价和总价不符时，以总价为准；大小写金额不一致，以大写为准。</w:t>
      </w:r>
    </w:p>
    <w:p>
      <w:pPr>
        <w:spacing w:line="400" w:lineRule="exact"/>
        <w:rPr>
          <w:color w:val="000000" w:themeColor="text1"/>
          <w:sz w:val="24"/>
          <w14:textFill>
            <w14:solidFill>
              <w14:schemeClr w14:val="tx1"/>
            </w14:solidFill>
          </w14:textFill>
        </w:rPr>
      </w:pPr>
    </w:p>
    <w:p>
      <w:pPr>
        <w:spacing w:line="400" w:lineRule="exact"/>
        <w:jc w:val="left"/>
        <w:rPr>
          <w:bCs/>
          <w:color w:val="000000" w:themeColor="text1"/>
          <w:sz w:val="28"/>
          <w:szCs w:val="28"/>
          <w14:textFill>
            <w14:solidFill>
              <w14:schemeClr w14:val="tx1"/>
            </w14:solidFill>
          </w14:textFill>
        </w:rPr>
      </w:pPr>
    </w:p>
    <w:p>
      <w:pPr>
        <w:spacing w:line="400" w:lineRule="exact"/>
        <w:jc w:val="left"/>
        <w:rPr>
          <w:bCs/>
          <w:color w:val="000000" w:themeColor="text1"/>
          <w:sz w:val="28"/>
          <w:szCs w:val="28"/>
          <w14:textFill>
            <w14:solidFill>
              <w14:schemeClr w14:val="tx1"/>
            </w14:solidFill>
          </w14:textFill>
        </w:rPr>
      </w:pPr>
    </w:p>
    <w:p>
      <w:pPr>
        <w:pStyle w:val="7"/>
        <w:spacing w:line="400" w:lineRule="exact"/>
        <w:jc w:val="center"/>
        <w:rPr>
          <w:rFonts w:ascii="方正小标宋简体" w:hAnsi="Times New Roman" w:eastAsia="方正小标宋简体"/>
          <w:color w:val="000000" w:themeColor="text1"/>
          <w:sz w:val="32"/>
          <w:szCs w:val="32"/>
          <w14:textFill>
            <w14:solidFill>
              <w14:schemeClr w14:val="tx1"/>
            </w14:solidFill>
          </w14:textFill>
        </w:rPr>
      </w:pPr>
      <w:r>
        <w:rPr>
          <w:rFonts w:ascii="方正小标宋简体" w:hAnsi="Times New Roman" w:eastAsia="方正小标宋简体"/>
          <w:color w:val="000000" w:themeColor="text1"/>
          <w:sz w:val="32"/>
          <w:szCs w:val="32"/>
          <w14:textFill>
            <w14:solidFill>
              <w14:schemeClr w14:val="tx1"/>
            </w14:solidFill>
          </w14:textFill>
        </w:rPr>
        <w:br w:type="page"/>
      </w:r>
      <w:r>
        <w:rPr>
          <w:rFonts w:hint="eastAsia" w:ascii="方正小标宋简体" w:hAnsi="Times New Roman" w:eastAsia="方正小标宋简体"/>
          <w:color w:val="000000" w:themeColor="text1"/>
          <w:sz w:val="32"/>
          <w:szCs w:val="32"/>
          <w14:textFill>
            <w14:solidFill>
              <w14:schemeClr w14:val="tx1"/>
            </w14:solidFill>
          </w14:textFill>
        </w:rPr>
        <w:t>六 技术（商务、服务）要求响应偏离表</w:t>
      </w:r>
    </w:p>
    <w:p>
      <w:pPr>
        <w:pStyle w:val="7"/>
        <w:spacing w:line="400" w:lineRule="exact"/>
        <w:jc w:val="center"/>
        <w:rPr>
          <w:rFonts w:ascii="Times New Roman" w:hAnsi="Times New Roman"/>
          <w:b/>
          <w:color w:val="000000" w:themeColor="text1"/>
          <w:sz w:val="32"/>
          <w14:textFill>
            <w14:solidFill>
              <w14:schemeClr w14:val="tx1"/>
            </w14:solidFill>
          </w14:textFill>
        </w:rPr>
      </w:pPr>
    </w:p>
    <w:tbl>
      <w:tblPr>
        <w:tblStyle w:val="14"/>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项目采购需求中主要技术</w:t>
            </w:r>
          </w:p>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偏离</w:t>
            </w:r>
          </w:p>
          <w:p>
            <w:pPr>
              <w:spacing w:line="400" w:lineRule="exact"/>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情况</w:t>
            </w:r>
          </w:p>
        </w:tc>
        <w:tc>
          <w:tcPr>
            <w:tcW w:w="1155" w:type="dxa"/>
            <w:tcBorders>
              <w:top w:val="single" w:color="auto" w:sz="4" w:space="0"/>
              <w:left w:val="single" w:color="auto" w:sz="4" w:space="0"/>
              <w:bottom w:val="single" w:color="auto" w:sz="4" w:space="0"/>
            </w:tcBorders>
            <w:vAlign w:val="center"/>
          </w:tcPr>
          <w:p>
            <w:pPr>
              <w:spacing w:line="4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4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400" w:lineRule="exact"/>
              <w:jc w:val="center"/>
              <w:rPr>
                <w:color w:val="000000" w:themeColor="text1"/>
                <w:sz w:val="24"/>
                <w14:textFill>
                  <w14:solidFill>
                    <w14:schemeClr w14:val="tx1"/>
                  </w14:solidFill>
                </w14:textFill>
              </w:rPr>
            </w:pPr>
          </w:p>
        </w:tc>
      </w:tr>
    </w:tbl>
    <w:p>
      <w:pPr>
        <w:spacing w:line="400" w:lineRule="exact"/>
        <w:rPr>
          <w:color w:val="000000" w:themeColor="text1"/>
          <w:sz w:val="28"/>
          <w:szCs w:val="28"/>
          <w14:textFill>
            <w14:solidFill>
              <w14:schemeClr w14:val="tx1"/>
            </w14:solidFill>
          </w14:textFill>
        </w:rPr>
      </w:pPr>
    </w:p>
    <w:p>
      <w:pPr>
        <w:spacing w:line="40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投标人</w:t>
      </w:r>
      <w:r>
        <w:rPr>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（加盖公章）</w:t>
      </w:r>
    </w:p>
    <w:p>
      <w:pPr>
        <w:spacing w:line="400" w:lineRule="exact"/>
        <w:rPr>
          <w:color w:val="000000" w:themeColor="text1"/>
          <w:sz w:val="24"/>
          <w:szCs w:val="24"/>
          <w14:textFill>
            <w14:solidFill>
              <w14:schemeClr w14:val="tx1"/>
            </w14:solidFill>
          </w14:textFill>
        </w:rPr>
      </w:pPr>
    </w:p>
    <w:p>
      <w:pPr>
        <w:spacing w:line="40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40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400" w:lineRule="exact"/>
        <w:rPr>
          <w:color w:val="000000" w:themeColor="text1"/>
          <w:sz w:val="24"/>
          <w14:textFill>
            <w14:solidFill>
              <w14:schemeClr w14:val="tx1"/>
            </w14:solidFill>
          </w14:textFill>
        </w:rPr>
      </w:pPr>
    </w:p>
    <w:p>
      <w:pPr>
        <w:spacing w:line="40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）此表为表样，行数可自行添加，但表式不变。</w:t>
      </w:r>
    </w:p>
    <w:p>
      <w:pPr>
        <w:spacing w:line="400" w:lineRule="exact"/>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）是否偏离用符号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分别表示正偏离、完全响应、负偏离。</w:t>
      </w:r>
    </w:p>
    <w:p>
      <w:pPr>
        <w:spacing w:line="400" w:lineRule="exact"/>
        <w:ind w:firstLine="360" w:firstLineChars="150"/>
        <w:rPr>
          <w:b/>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themeColor="text1"/>
          <w:kern w:val="0"/>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 xml:space="preserve">七 </w:t>
      </w:r>
      <w:r>
        <w:rPr>
          <w:rFonts w:hint="eastAsia" w:ascii="方正小标宋简体" w:hAnsi="仿宋" w:eastAsia="方正小标宋简体" w:cs="宋体"/>
          <w:color w:val="000000" w:themeColor="text1"/>
          <w:kern w:val="0"/>
          <w:sz w:val="32"/>
          <w:szCs w:val="32"/>
          <w14:textFill>
            <w14:solidFill>
              <w14:schemeClr w14:val="tx1"/>
            </w14:solidFill>
          </w14:textFill>
        </w:rPr>
        <w:t>参加政府采购活动前三年内在经营活动和招投标活动中没有重大违法记录的承诺书</w:t>
      </w:r>
    </w:p>
    <w:p>
      <w:pPr>
        <w:rPr>
          <w:rFonts w:ascii="方正小标宋简体" w:eastAsia="方正小标宋简体"/>
          <w:color w:val="000000" w:themeColor="text1"/>
          <w:sz w:val="36"/>
          <w:szCs w:val="36"/>
          <w14:textFill>
            <w14:solidFill>
              <w14:schemeClr w14:val="tx1"/>
            </w14:solidFill>
          </w14:textFill>
        </w:rPr>
      </w:pPr>
    </w:p>
    <w:p>
      <w:pPr>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淮阴工学院招投标办公室：</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我公司郑重声明</w:t>
      </w:r>
      <w:r>
        <w:rPr>
          <w:rFonts w:ascii="宋体" w:hAnsi="宋体" w:cs="仿宋"/>
          <w:color w:val="000000" w:themeColor="text1"/>
          <w:kern w:val="0"/>
          <w:sz w:val="28"/>
          <w:szCs w:val="28"/>
          <w14:textFill>
            <w14:solidFill>
              <w14:schemeClr w14:val="tx1"/>
            </w14:solidFill>
          </w14:textFill>
        </w:rPr>
        <w:t>:</w:t>
      </w:r>
      <w:r>
        <w:rPr>
          <w:rFonts w:hint="eastAsia" w:ascii="宋体" w:hAnsi="宋体" w:cs="仿宋"/>
          <w:color w:val="000000" w:themeColor="text1"/>
          <w:kern w:val="0"/>
          <w:sz w:val="28"/>
          <w:szCs w:val="28"/>
          <w14:textFill>
            <w14:solidFill>
              <w14:schemeClr w14:val="tx1"/>
            </w14:solidFill>
          </w14:textFill>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14:textFill>
            <w14:solidFill>
              <w14:schemeClr w14:val="tx1"/>
            </w14:solidFill>
          </w14:textFill>
        </w:rPr>
        <w:t>招投标活动中</w:t>
      </w:r>
      <w:r>
        <w:rPr>
          <w:rFonts w:hint="eastAsia" w:ascii="宋体" w:hAnsi="宋体"/>
          <w:color w:val="000000" w:themeColor="text1"/>
          <w:sz w:val="28"/>
          <w:szCs w:val="28"/>
          <w14:textFill>
            <w14:solidFill>
              <w14:schemeClr w14:val="tx1"/>
            </w14:solidFill>
          </w14:textFill>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特此声明！</w:t>
      </w:r>
    </w:p>
    <w:p>
      <w:pPr>
        <w:autoSpaceDE w:val="0"/>
        <w:autoSpaceDN w:val="0"/>
        <w:adjustRightInd w:val="0"/>
        <w:spacing w:line="720" w:lineRule="exact"/>
        <w:jc w:val="left"/>
        <w:rPr>
          <w:rFonts w:ascii="宋体" w:cs="仿宋"/>
          <w:color w:val="000000" w:themeColor="text1"/>
          <w:kern w:val="0"/>
          <w:sz w:val="28"/>
          <w:szCs w:val="28"/>
          <w14:textFill>
            <w14:solidFill>
              <w14:schemeClr w14:val="tx1"/>
            </w14:solidFill>
          </w14:textFill>
        </w:rPr>
      </w:pPr>
    </w:p>
    <w:p>
      <w:pPr>
        <w:spacing w:line="520" w:lineRule="exact"/>
        <w:ind w:firstLine="560" w:firstLineChars="200"/>
        <w:rPr>
          <w:rFonts w:ascii="宋体"/>
          <w:b/>
          <w:bCs/>
          <w:color w:val="000000" w:themeColor="text1"/>
          <w:sz w:val="28"/>
          <w:szCs w:val="28"/>
          <w14:textFill>
            <w14:solidFill>
              <w14:schemeClr w14:val="tx1"/>
            </w14:solidFill>
          </w14:textFill>
        </w:rPr>
      </w:pPr>
    </w:p>
    <w:p>
      <w:pPr>
        <w:spacing w:line="520" w:lineRule="exact"/>
        <w:ind w:firstLine="560" w:firstLineChars="200"/>
        <w:rPr>
          <w:rFonts w:ascii="宋体"/>
          <w:b/>
          <w:bCs/>
          <w:color w:val="000000" w:themeColor="text1"/>
          <w:sz w:val="28"/>
          <w:szCs w:val="28"/>
          <w14:textFill>
            <w14:solidFill>
              <w14:schemeClr w14:val="tx1"/>
            </w14:solidFill>
          </w14:textFill>
        </w:rPr>
      </w:pPr>
    </w:p>
    <w:p>
      <w:pPr>
        <w:spacing w:line="52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投标人（加盖公章）：</w:t>
      </w:r>
    </w:p>
    <w:p>
      <w:pPr>
        <w:spacing w:line="520" w:lineRule="exact"/>
        <w:rPr>
          <w:color w:val="000000" w:themeColor="text1"/>
          <w:w w:val="90"/>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法定代表人或其授权委托人（签章）：</w:t>
      </w:r>
    </w:p>
    <w:p>
      <w:pPr>
        <w:jc w:val="left"/>
        <w:rPr>
          <w:rStyle w:val="19"/>
          <w:rFonts w:ascii="Calibri" w:hAnsi="Calibri"/>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 xml:space="preserve">日期： </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年 </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 xml:space="preserve">月 </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日</w:t>
      </w:r>
    </w:p>
    <w:p>
      <w:pPr>
        <w:spacing w:line="400" w:lineRule="exact"/>
        <w:ind w:firstLine="555"/>
        <w:rPr>
          <w:rFonts w:ascii="宋体"/>
          <w:color w:val="000000" w:themeColor="text1"/>
          <w:sz w:val="28"/>
          <w:szCs w:val="28"/>
          <w14:textFill>
            <w14:solidFill>
              <w14:schemeClr w14:val="tx1"/>
            </w14:solidFill>
          </w14:textFill>
        </w:rPr>
      </w:pPr>
    </w:p>
    <w:p>
      <w:pPr>
        <w:spacing w:line="400" w:lineRule="exact"/>
        <w:jc w:val="center"/>
        <w:rPr>
          <w:rFonts w:ascii="方正小标宋简体" w:eastAsia="方正小标宋简体"/>
          <w:color w:val="000000" w:themeColor="text1"/>
          <w:sz w:val="32"/>
          <w:szCs w:val="32"/>
          <w14:textFill>
            <w14:solidFill>
              <w14:schemeClr w14:val="tx1"/>
            </w14:solidFill>
          </w14:textFill>
        </w:rPr>
      </w:pPr>
      <w:r>
        <w:rPr>
          <w:rFonts w:ascii="宋体"/>
          <w:color w:val="000000" w:themeColor="text1"/>
          <w:sz w:val="28"/>
          <w:szCs w:val="28"/>
          <w14:textFill>
            <w14:solidFill>
              <w14:schemeClr w14:val="tx1"/>
            </w14:solidFill>
          </w14:textFill>
        </w:rPr>
        <w:br w:type="page"/>
      </w:r>
      <w:r>
        <w:rPr>
          <w:rFonts w:hint="eastAsia" w:ascii="方正小标宋简体" w:hAnsi="宋体" w:eastAsia="方正小标宋简体" w:cs="宋体"/>
          <w:color w:val="000000" w:themeColor="text1"/>
          <w:kern w:val="0"/>
          <w:sz w:val="32"/>
          <w:szCs w:val="32"/>
          <w14:textFill>
            <w14:solidFill>
              <w14:schemeClr w14:val="tx1"/>
            </w14:solidFill>
          </w14:textFill>
        </w:rPr>
        <w:t>八 投标人近三年业绩一览表</w:t>
      </w:r>
    </w:p>
    <w:p>
      <w:pPr>
        <w:spacing w:line="400" w:lineRule="exact"/>
        <w:rPr>
          <w:color w:val="000000" w:themeColor="text1"/>
          <w14:textFill>
            <w14:solidFill>
              <w14:schemeClr w14:val="tx1"/>
            </w14:solidFill>
          </w14:textFill>
        </w:rPr>
      </w:pPr>
    </w:p>
    <w:tbl>
      <w:tblPr>
        <w:tblStyle w:val="14"/>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547" w:type="dxa"/>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买方单位名称</w:t>
            </w:r>
          </w:p>
        </w:tc>
        <w:tc>
          <w:tcPr>
            <w:tcW w:w="1112" w:type="dxa"/>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供货时间</w:t>
            </w:r>
          </w:p>
        </w:tc>
        <w:tc>
          <w:tcPr>
            <w:tcW w:w="1112" w:type="dxa"/>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合同金额</w:t>
            </w:r>
          </w:p>
        </w:tc>
        <w:tc>
          <w:tcPr>
            <w:tcW w:w="2054" w:type="dxa"/>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主要设备</w:t>
            </w:r>
          </w:p>
        </w:tc>
        <w:tc>
          <w:tcPr>
            <w:tcW w:w="1503" w:type="dxa"/>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买方联系人、联系电话</w:t>
            </w:r>
          </w:p>
        </w:tc>
        <w:tc>
          <w:tcPr>
            <w:tcW w:w="939" w:type="dxa"/>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spacing w:line="400" w:lineRule="exact"/>
              <w:rPr>
                <w:color w:val="000000" w:themeColor="text1"/>
                <w14:textFill>
                  <w14:solidFill>
                    <w14:schemeClr w14:val="tx1"/>
                  </w14:solidFill>
                </w14:textFill>
              </w:rPr>
            </w:pPr>
          </w:p>
        </w:tc>
        <w:tc>
          <w:tcPr>
            <w:tcW w:w="1547" w:type="dxa"/>
          </w:tcPr>
          <w:p>
            <w:pPr>
              <w:spacing w:line="400" w:lineRule="exact"/>
              <w:rPr>
                <w:color w:val="000000" w:themeColor="text1"/>
                <w14:textFill>
                  <w14:solidFill>
                    <w14:schemeClr w14:val="tx1"/>
                  </w14:solidFill>
                </w14:textFill>
              </w:rPr>
            </w:pPr>
          </w:p>
        </w:tc>
        <w:tc>
          <w:tcPr>
            <w:tcW w:w="1112" w:type="dxa"/>
          </w:tcPr>
          <w:p>
            <w:pPr>
              <w:spacing w:line="400" w:lineRule="exact"/>
              <w:rPr>
                <w:color w:val="000000" w:themeColor="text1"/>
                <w14:textFill>
                  <w14:solidFill>
                    <w14:schemeClr w14:val="tx1"/>
                  </w14:solidFill>
                </w14:textFill>
              </w:rPr>
            </w:pPr>
          </w:p>
        </w:tc>
        <w:tc>
          <w:tcPr>
            <w:tcW w:w="1112" w:type="dxa"/>
          </w:tcPr>
          <w:p>
            <w:pPr>
              <w:spacing w:line="400" w:lineRule="exact"/>
              <w:rPr>
                <w:color w:val="000000" w:themeColor="text1"/>
                <w14:textFill>
                  <w14:solidFill>
                    <w14:schemeClr w14:val="tx1"/>
                  </w14:solidFill>
                </w14:textFill>
              </w:rPr>
            </w:pPr>
          </w:p>
        </w:tc>
        <w:tc>
          <w:tcPr>
            <w:tcW w:w="2054" w:type="dxa"/>
          </w:tcPr>
          <w:p>
            <w:pPr>
              <w:spacing w:line="400" w:lineRule="exact"/>
              <w:rPr>
                <w:color w:val="000000" w:themeColor="text1"/>
                <w14:textFill>
                  <w14:solidFill>
                    <w14:schemeClr w14:val="tx1"/>
                  </w14:solidFill>
                </w14:textFill>
              </w:rPr>
            </w:pPr>
          </w:p>
        </w:tc>
        <w:tc>
          <w:tcPr>
            <w:tcW w:w="1503" w:type="dxa"/>
          </w:tcPr>
          <w:p>
            <w:pPr>
              <w:spacing w:line="400" w:lineRule="exact"/>
              <w:rPr>
                <w:color w:val="000000" w:themeColor="text1"/>
                <w14:textFill>
                  <w14:solidFill>
                    <w14:schemeClr w14:val="tx1"/>
                  </w14:solidFill>
                </w14:textFill>
              </w:rPr>
            </w:pPr>
          </w:p>
        </w:tc>
        <w:tc>
          <w:tcPr>
            <w:tcW w:w="939" w:type="dxa"/>
          </w:tcPr>
          <w:p>
            <w:pPr>
              <w:spacing w:line="4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spacing w:line="400" w:lineRule="exact"/>
              <w:rPr>
                <w:color w:val="000000" w:themeColor="text1"/>
                <w14:textFill>
                  <w14:solidFill>
                    <w14:schemeClr w14:val="tx1"/>
                  </w14:solidFill>
                </w14:textFill>
              </w:rPr>
            </w:pPr>
          </w:p>
        </w:tc>
        <w:tc>
          <w:tcPr>
            <w:tcW w:w="1547" w:type="dxa"/>
          </w:tcPr>
          <w:p>
            <w:pPr>
              <w:spacing w:line="400" w:lineRule="exact"/>
              <w:rPr>
                <w:color w:val="000000" w:themeColor="text1"/>
                <w14:textFill>
                  <w14:solidFill>
                    <w14:schemeClr w14:val="tx1"/>
                  </w14:solidFill>
                </w14:textFill>
              </w:rPr>
            </w:pPr>
          </w:p>
        </w:tc>
        <w:tc>
          <w:tcPr>
            <w:tcW w:w="1112" w:type="dxa"/>
          </w:tcPr>
          <w:p>
            <w:pPr>
              <w:spacing w:line="400" w:lineRule="exact"/>
              <w:rPr>
                <w:color w:val="000000" w:themeColor="text1"/>
                <w14:textFill>
                  <w14:solidFill>
                    <w14:schemeClr w14:val="tx1"/>
                  </w14:solidFill>
                </w14:textFill>
              </w:rPr>
            </w:pPr>
          </w:p>
        </w:tc>
        <w:tc>
          <w:tcPr>
            <w:tcW w:w="1112" w:type="dxa"/>
          </w:tcPr>
          <w:p>
            <w:pPr>
              <w:spacing w:line="400" w:lineRule="exact"/>
              <w:rPr>
                <w:color w:val="000000" w:themeColor="text1"/>
                <w14:textFill>
                  <w14:solidFill>
                    <w14:schemeClr w14:val="tx1"/>
                  </w14:solidFill>
                </w14:textFill>
              </w:rPr>
            </w:pPr>
          </w:p>
        </w:tc>
        <w:tc>
          <w:tcPr>
            <w:tcW w:w="2054" w:type="dxa"/>
          </w:tcPr>
          <w:p>
            <w:pPr>
              <w:spacing w:line="400" w:lineRule="exact"/>
              <w:rPr>
                <w:color w:val="000000" w:themeColor="text1"/>
                <w14:textFill>
                  <w14:solidFill>
                    <w14:schemeClr w14:val="tx1"/>
                  </w14:solidFill>
                </w14:textFill>
              </w:rPr>
            </w:pPr>
          </w:p>
        </w:tc>
        <w:tc>
          <w:tcPr>
            <w:tcW w:w="1503" w:type="dxa"/>
          </w:tcPr>
          <w:p>
            <w:pPr>
              <w:spacing w:line="400" w:lineRule="exact"/>
              <w:rPr>
                <w:color w:val="000000" w:themeColor="text1"/>
                <w14:textFill>
                  <w14:solidFill>
                    <w14:schemeClr w14:val="tx1"/>
                  </w14:solidFill>
                </w14:textFill>
              </w:rPr>
            </w:pPr>
          </w:p>
        </w:tc>
        <w:tc>
          <w:tcPr>
            <w:tcW w:w="939" w:type="dxa"/>
          </w:tcPr>
          <w:p>
            <w:pPr>
              <w:spacing w:line="4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spacing w:line="400" w:lineRule="exact"/>
              <w:rPr>
                <w:color w:val="000000" w:themeColor="text1"/>
                <w14:textFill>
                  <w14:solidFill>
                    <w14:schemeClr w14:val="tx1"/>
                  </w14:solidFill>
                </w14:textFill>
              </w:rPr>
            </w:pPr>
          </w:p>
        </w:tc>
        <w:tc>
          <w:tcPr>
            <w:tcW w:w="1547" w:type="dxa"/>
          </w:tcPr>
          <w:p>
            <w:pPr>
              <w:spacing w:line="400" w:lineRule="exact"/>
              <w:rPr>
                <w:color w:val="000000" w:themeColor="text1"/>
                <w14:textFill>
                  <w14:solidFill>
                    <w14:schemeClr w14:val="tx1"/>
                  </w14:solidFill>
                </w14:textFill>
              </w:rPr>
            </w:pPr>
          </w:p>
        </w:tc>
        <w:tc>
          <w:tcPr>
            <w:tcW w:w="1112" w:type="dxa"/>
          </w:tcPr>
          <w:p>
            <w:pPr>
              <w:spacing w:line="400" w:lineRule="exact"/>
              <w:rPr>
                <w:color w:val="000000" w:themeColor="text1"/>
                <w14:textFill>
                  <w14:solidFill>
                    <w14:schemeClr w14:val="tx1"/>
                  </w14:solidFill>
                </w14:textFill>
              </w:rPr>
            </w:pPr>
          </w:p>
        </w:tc>
        <w:tc>
          <w:tcPr>
            <w:tcW w:w="1112" w:type="dxa"/>
          </w:tcPr>
          <w:p>
            <w:pPr>
              <w:spacing w:line="400" w:lineRule="exact"/>
              <w:rPr>
                <w:color w:val="000000" w:themeColor="text1"/>
                <w14:textFill>
                  <w14:solidFill>
                    <w14:schemeClr w14:val="tx1"/>
                  </w14:solidFill>
                </w14:textFill>
              </w:rPr>
            </w:pPr>
          </w:p>
        </w:tc>
        <w:tc>
          <w:tcPr>
            <w:tcW w:w="2054" w:type="dxa"/>
          </w:tcPr>
          <w:p>
            <w:pPr>
              <w:spacing w:line="400" w:lineRule="exact"/>
              <w:rPr>
                <w:color w:val="000000" w:themeColor="text1"/>
                <w14:textFill>
                  <w14:solidFill>
                    <w14:schemeClr w14:val="tx1"/>
                  </w14:solidFill>
                </w14:textFill>
              </w:rPr>
            </w:pPr>
          </w:p>
        </w:tc>
        <w:tc>
          <w:tcPr>
            <w:tcW w:w="1503" w:type="dxa"/>
          </w:tcPr>
          <w:p>
            <w:pPr>
              <w:spacing w:line="400" w:lineRule="exact"/>
              <w:rPr>
                <w:color w:val="000000" w:themeColor="text1"/>
                <w14:textFill>
                  <w14:solidFill>
                    <w14:schemeClr w14:val="tx1"/>
                  </w14:solidFill>
                </w14:textFill>
              </w:rPr>
            </w:pPr>
          </w:p>
        </w:tc>
        <w:tc>
          <w:tcPr>
            <w:tcW w:w="939" w:type="dxa"/>
          </w:tcPr>
          <w:p>
            <w:pPr>
              <w:spacing w:line="4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spacing w:line="400" w:lineRule="exact"/>
              <w:rPr>
                <w:color w:val="000000" w:themeColor="text1"/>
                <w14:textFill>
                  <w14:solidFill>
                    <w14:schemeClr w14:val="tx1"/>
                  </w14:solidFill>
                </w14:textFill>
              </w:rPr>
            </w:pPr>
          </w:p>
        </w:tc>
        <w:tc>
          <w:tcPr>
            <w:tcW w:w="1547" w:type="dxa"/>
          </w:tcPr>
          <w:p>
            <w:pPr>
              <w:spacing w:line="400" w:lineRule="exact"/>
              <w:rPr>
                <w:color w:val="000000" w:themeColor="text1"/>
                <w14:textFill>
                  <w14:solidFill>
                    <w14:schemeClr w14:val="tx1"/>
                  </w14:solidFill>
                </w14:textFill>
              </w:rPr>
            </w:pPr>
          </w:p>
        </w:tc>
        <w:tc>
          <w:tcPr>
            <w:tcW w:w="1112" w:type="dxa"/>
          </w:tcPr>
          <w:p>
            <w:pPr>
              <w:spacing w:line="400" w:lineRule="exact"/>
              <w:rPr>
                <w:color w:val="000000" w:themeColor="text1"/>
                <w14:textFill>
                  <w14:solidFill>
                    <w14:schemeClr w14:val="tx1"/>
                  </w14:solidFill>
                </w14:textFill>
              </w:rPr>
            </w:pPr>
          </w:p>
        </w:tc>
        <w:tc>
          <w:tcPr>
            <w:tcW w:w="1112" w:type="dxa"/>
          </w:tcPr>
          <w:p>
            <w:pPr>
              <w:spacing w:line="400" w:lineRule="exact"/>
              <w:rPr>
                <w:color w:val="000000" w:themeColor="text1"/>
                <w14:textFill>
                  <w14:solidFill>
                    <w14:schemeClr w14:val="tx1"/>
                  </w14:solidFill>
                </w14:textFill>
              </w:rPr>
            </w:pPr>
          </w:p>
        </w:tc>
        <w:tc>
          <w:tcPr>
            <w:tcW w:w="2054" w:type="dxa"/>
          </w:tcPr>
          <w:p>
            <w:pPr>
              <w:spacing w:line="400" w:lineRule="exact"/>
              <w:rPr>
                <w:color w:val="000000" w:themeColor="text1"/>
                <w14:textFill>
                  <w14:solidFill>
                    <w14:schemeClr w14:val="tx1"/>
                  </w14:solidFill>
                </w14:textFill>
              </w:rPr>
            </w:pPr>
          </w:p>
        </w:tc>
        <w:tc>
          <w:tcPr>
            <w:tcW w:w="1503" w:type="dxa"/>
          </w:tcPr>
          <w:p>
            <w:pPr>
              <w:spacing w:line="400" w:lineRule="exact"/>
              <w:rPr>
                <w:color w:val="000000" w:themeColor="text1"/>
                <w14:textFill>
                  <w14:solidFill>
                    <w14:schemeClr w14:val="tx1"/>
                  </w14:solidFill>
                </w14:textFill>
              </w:rPr>
            </w:pPr>
          </w:p>
        </w:tc>
        <w:tc>
          <w:tcPr>
            <w:tcW w:w="939" w:type="dxa"/>
          </w:tcPr>
          <w:p>
            <w:pPr>
              <w:spacing w:line="400" w:lineRule="exac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spacing w:line="400" w:lineRule="exact"/>
              <w:rPr>
                <w:color w:val="000000" w:themeColor="text1"/>
                <w14:textFill>
                  <w14:solidFill>
                    <w14:schemeClr w14:val="tx1"/>
                  </w14:solidFill>
                </w14:textFill>
              </w:rPr>
            </w:pPr>
          </w:p>
        </w:tc>
        <w:tc>
          <w:tcPr>
            <w:tcW w:w="1547" w:type="dxa"/>
          </w:tcPr>
          <w:p>
            <w:pPr>
              <w:spacing w:line="400" w:lineRule="exact"/>
              <w:rPr>
                <w:color w:val="000000" w:themeColor="text1"/>
                <w14:textFill>
                  <w14:solidFill>
                    <w14:schemeClr w14:val="tx1"/>
                  </w14:solidFill>
                </w14:textFill>
              </w:rPr>
            </w:pPr>
          </w:p>
        </w:tc>
        <w:tc>
          <w:tcPr>
            <w:tcW w:w="1112" w:type="dxa"/>
          </w:tcPr>
          <w:p>
            <w:pPr>
              <w:spacing w:line="400" w:lineRule="exact"/>
              <w:rPr>
                <w:color w:val="000000" w:themeColor="text1"/>
                <w14:textFill>
                  <w14:solidFill>
                    <w14:schemeClr w14:val="tx1"/>
                  </w14:solidFill>
                </w14:textFill>
              </w:rPr>
            </w:pPr>
          </w:p>
        </w:tc>
        <w:tc>
          <w:tcPr>
            <w:tcW w:w="1112" w:type="dxa"/>
          </w:tcPr>
          <w:p>
            <w:pPr>
              <w:spacing w:line="400" w:lineRule="exact"/>
              <w:rPr>
                <w:color w:val="000000" w:themeColor="text1"/>
                <w14:textFill>
                  <w14:solidFill>
                    <w14:schemeClr w14:val="tx1"/>
                  </w14:solidFill>
                </w14:textFill>
              </w:rPr>
            </w:pPr>
          </w:p>
        </w:tc>
        <w:tc>
          <w:tcPr>
            <w:tcW w:w="2054" w:type="dxa"/>
          </w:tcPr>
          <w:p>
            <w:pPr>
              <w:spacing w:line="400" w:lineRule="exact"/>
              <w:rPr>
                <w:color w:val="000000" w:themeColor="text1"/>
                <w14:textFill>
                  <w14:solidFill>
                    <w14:schemeClr w14:val="tx1"/>
                  </w14:solidFill>
                </w14:textFill>
              </w:rPr>
            </w:pPr>
          </w:p>
        </w:tc>
        <w:tc>
          <w:tcPr>
            <w:tcW w:w="1503" w:type="dxa"/>
          </w:tcPr>
          <w:p>
            <w:pPr>
              <w:spacing w:line="400" w:lineRule="exact"/>
              <w:rPr>
                <w:color w:val="000000" w:themeColor="text1"/>
                <w14:textFill>
                  <w14:solidFill>
                    <w14:schemeClr w14:val="tx1"/>
                  </w14:solidFill>
                </w14:textFill>
              </w:rPr>
            </w:pPr>
          </w:p>
        </w:tc>
        <w:tc>
          <w:tcPr>
            <w:tcW w:w="939" w:type="dxa"/>
          </w:tcPr>
          <w:p>
            <w:pPr>
              <w:spacing w:line="400" w:lineRule="exact"/>
              <w:rPr>
                <w:color w:val="000000" w:themeColor="text1"/>
                <w14:textFill>
                  <w14:solidFill>
                    <w14:schemeClr w14:val="tx1"/>
                  </w14:solidFill>
                </w14:textFill>
              </w:rPr>
            </w:pPr>
          </w:p>
        </w:tc>
      </w:tr>
    </w:tbl>
    <w:p>
      <w:pPr>
        <w:spacing w:line="400" w:lineRule="exact"/>
        <w:rPr>
          <w:color w:val="000000" w:themeColor="text1"/>
          <w:sz w:val="24"/>
          <w:szCs w:val="24"/>
          <w14:textFill>
            <w14:solidFill>
              <w14:schemeClr w14:val="tx1"/>
            </w14:solidFill>
          </w14:textFill>
        </w:rPr>
      </w:pPr>
      <w:r>
        <w:rPr>
          <w:rFonts w:hint="eastAsia"/>
          <w:color w:val="000000" w:themeColor="text1"/>
          <w:szCs w:val="21"/>
          <w14:textFill>
            <w14:solidFill>
              <w14:schemeClr w14:val="tx1"/>
            </w14:solidFill>
          </w14:textFill>
        </w:rPr>
        <w:t>备注：请填报与本项目直接相关的供货业绩；合同签订时间为2017年9月以来；须附</w:t>
      </w:r>
      <w:r>
        <w:rPr>
          <w:rFonts w:hint="eastAsia" w:ascii="宋体" w:hAnsi="宋体" w:cs="宋体"/>
          <w:color w:val="000000" w:themeColor="text1"/>
          <w:kern w:val="0"/>
          <w:szCs w:val="21"/>
          <w14:textFill>
            <w14:solidFill>
              <w14:schemeClr w14:val="tx1"/>
            </w14:solidFill>
          </w14:textFill>
        </w:rPr>
        <w:t>供货</w:t>
      </w:r>
      <w:r>
        <w:rPr>
          <w:rFonts w:hint="eastAsia" w:ascii="宋体" w:hAnsi="宋体" w:cs="宋体"/>
          <w:color w:val="000000" w:themeColor="text1"/>
          <w:kern w:val="0"/>
          <w:sz w:val="24"/>
          <w:szCs w:val="24"/>
          <w14:textFill>
            <w14:solidFill>
              <w14:schemeClr w14:val="tx1"/>
            </w14:solidFill>
          </w14:textFill>
        </w:rPr>
        <w:t>合同复印件。</w:t>
      </w:r>
    </w:p>
    <w:p>
      <w:pPr>
        <w:spacing w:line="400" w:lineRule="exact"/>
        <w:jc w:val="center"/>
        <w:rPr>
          <w:rFonts w:ascii="宋体"/>
          <w:b/>
          <w:color w:val="000000" w:themeColor="text1"/>
          <w:sz w:val="24"/>
          <w:szCs w:val="24"/>
          <w14:textFill>
            <w14:solidFill>
              <w14:schemeClr w14:val="tx1"/>
            </w14:solidFill>
          </w14:textFill>
        </w:rPr>
      </w:pPr>
    </w:p>
    <w:p>
      <w:pPr>
        <w:spacing w:line="40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400" w:lineRule="exact"/>
        <w:rPr>
          <w:color w:val="000000" w:themeColor="text1"/>
          <w:sz w:val="24"/>
          <w:szCs w:val="24"/>
          <w14:textFill>
            <w14:solidFill>
              <w14:schemeClr w14:val="tx1"/>
            </w14:solidFill>
          </w14:textFill>
        </w:rPr>
      </w:pPr>
    </w:p>
    <w:p>
      <w:pPr>
        <w:spacing w:line="40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40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日期：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年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月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日</w:t>
      </w:r>
    </w:p>
    <w:p>
      <w:pPr>
        <w:spacing w:line="400" w:lineRule="exact"/>
        <w:jc w:val="center"/>
        <w:rPr>
          <w:rFonts w:ascii="宋体"/>
          <w:b/>
          <w:color w:val="000000" w:themeColor="text1"/>
          <w:sz w:val="36"/>
          <w:szCs w:val="36"/>
          <w14:textFill>
            <w14:solidFill>
              <w14:schemeClr w14:val="tx1"/>
            </w14:solidFill>
          </w14:textFill>
        </w:rPr>
      </w:pPr>
    </w:p>
    <w:p>
      <w:pPr>
        <w:pStyle w:val="4"/>
        <w:spacing w:line="400" w:lineRule="exact"/>
        <w:ind w:firstLine="0"/>
        <w:jc w:val="center"/>
        <w:rPr>
          <w:rFonts w:ascii="方正小标宋简体" w:hAnsi="仿宋" w:eastAsia="方正小标宋简体"/>
          <w:sz w:val="32"/>
          <w:szCs w:val="32"/>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 xml:space="preserve">九 </w:t>
      </w:r>
      <w:r>
        <w:rPr>
          <w:rFonts w:hint="eastAsia" w:ascii="方正小标宋简体" w:hAnsi="仿宋" w:eastAsia="方正小标宋简体"/>
          <w:sz w:val="32"/>
          <w:szCs w:val="32"/>
        </w:rPr>
        <w:t>小微企业声明函</w:t>
      </w:r>
    </w:p>
    <w:p>
      <w:pPr>
        <w:pStyle w:val="4"/>
        <w:spacing w:line="400" w:lineRule="exact"/>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w:t>
      </w:r>
      <w:r>
        <w:rPr>
          <w:rFonts w:hint="eastAsia" w:asciiTheme="minorEastAsia" w:hAnsiTheme="minorEastAsia" w:eastAsiaTheme="minorEastAsia"/>
          <w:color w:val="000000" w:themeColor="text1"/>
          <w:sz w:val="24"/>
          <w:szCs w:val="24"/>
          <w14:textFill>
            <w14:solidFill>
              <w14:schemeClr w14:val="tx1"/>
            </w14:solidFill>
          </w14:textFill>
        </w:rPr>
        <w:t>招投标办公室</w:t>
      </w:r>
      <w:r>
        <w:rPr>
          <w:rFonts w:hint="eastAsia" w:asciiTheme="minorEastAsia" w:hAnsiTheme="minorEastAsia" w:eastAsiaTheme="minorEastAsia"/>
          <w:sz w:val="24"/>
          <w:szCs w:val="24"/>
        </w:rPr>
        <w:t>:</w:t>
      </w:r>
    </w:p>
    <w:p>
      <w:pPr>
        <w:pStyle w:val="4"/>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本单位郑重声明，根据《政府采购促进中小企业发展暂行办法》（财库[2011]181号）的规定，本单位为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（请填写:小型、微型）企业。即，本单位同时满足以下条件: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2、本单位参加（采购单位名称）</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的（采购项目名称）采购活动提供本企业制造的货物，由本企业承担工程、提供服务，或者提供其他______（请填写:小型、微型）企业制造的货物。本条所称货物不包括使用大型、中型企业注册商标的货物。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sz w:val="24"/>
          <w:szCs w:val="24"/>
        </w:rPr>
        <w:br w:type="textWrapping"/>
      </w:r>
      <w:r>
        <w:rPr>
          <w:rFonts w:hint="eastAsia" w:cs="Calibri" w:asciiTheme="minorEastAsia" w:hAnsiTheme="minorEastAsia" w:eastAsiaTheme="minorEastAsia"/>
          <w:sz w:val="24"/>
          <w:szCs w:val="24"/>
        </w:rPr>
        <w:t xml:space="preserve"> </w:t>
      </w:r>
      <w:r>
        <w:rPr>
          <w:rFonts w:cs="Calibri"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本公司承诺在投标文件中</w:t>
      </w:r>
      <w:r>
        <w:rPr>
          <w:rFonts w:cs="Calibri" w:asciiTheme="minorEastAsia" w:hAnsiTheme="minorEastAsia" w:eastAsiaTheme="minorEastAsia"/>
          <w:sz w:val="24"/>
          <w:szCs w:val="24"/>
        </w:rPr>
        <w:t>提供</w:t>
      </w:r>
      <w:r>
        <w:rPr>
          <w:rFonts w:hint="eastAsia" w:cs="Calibri" w:asciiTheme="minorEastAsia" w:hAnsiTheme="minorEastAsia" w:eastAsiaTheme="minorEastAsia"/>
          <w:sz w:val="24"/>
          <w:szCs w:val="24"/>
        </w:rPr>
        <w:t>证明</w:t>
      </w:r>
      <w:r>
        <w:rPr>
          <w:rFonts w:cs="Calibri" w:asciiTheme="minorEastAsia" w:hAnsiTheme="minorEastAsia" w:eastAsiaTheme="minorEastAsia"/>
          <w:sz w:val="24"/>
          <w:szCs w:val="24"/>
        </w:rPr>
        <w:t>为小微企业的</w:t>
      </w:r>
      <w:r>
        <w:rPr>
          <w:rFonts w:hint="eastAsia" w:cs="Calibri" w:asciiTheme="minorEastAsia" w:hAnsiTheme="minorEastAsia" w:eastAsiaTheme="minorEastAsia"/>
          <w:sz w:val="24"/>
          <w:szCs w:val="24"/>
        </w:rPr>
        <w:t>证明</w:t>
      </w:r>
      <w:r>
        <w:rPr>
          <w:rFonts w:cs="Calibri" w:asciiTheme="minorEastAsia" w:hAnsiTheme="minorEastAsia" w:eastAsiaTheme="minorEastAsia"/>
          <w:sz w:val="24"/>
          <w:szCs w:val="24"/>
        </w:rPr>
        <w:t>材料</w:t>
      </w:r>
      <w:r>
        <w:rPr>
          <w:rFonts w:hint="eastAsia" w:cs="Calibri" w:asciiTheme="minorEastAsia" w:hAnsiTheme="minorEastAsia" w:eastAsiaTheme="minorEastAsia"/>
          <w:sz w:val="24"/>
          <w:szCs w:val="24"/>
        </w:rPr>
        <w:t xml:space="preserve"> (</w:t>
      </w:r>
      <w:r>
        <w:rPr>
          <w:rFonts w:asciiTheme="minorEastAsia" w:hAnsiTheme="minorEastAsia" w:eastAsiaTheme="minorEastAsia"/>
          <w:sz w:val="24"/>
          <w:szCs w:val="24"/>
        </w:rPr>
        <w:t>提供其他小微企业</w:t>
      </w:r>
      <w:r>
        <w:rPr>
          <w:rFonts w:hint="eastAsia" w:asciiTheme="minorEastAsia" w:hAnsiTheme="minorEastAsia" w:eastAsiaTheme="minorEastAsia"/>
          <w:sz w:val="24"/>
          <w:szCs w:val="24"/>
        </w:rPr>
        <w:t>制造</w:t>
      </w:r>
      <w:r>
        <w:rPr>
          <w:rFonts w:asciiTheme="minorEastAsia" w:hAnsiTheme="minorEastAsia" w:eastAsiaTheme="minorEastAsia"/>
          <w:sz w:val="24"/>
          <w:szCs w:val="24"/>
        </w:rPr>
        <w:t>的货物，还须提供生产企业的相关证明材料</w:t>
      </w:r>
      <w:r>
        <w:rPr>
          <w:rFonts w:hint="eastAsia" w:asciiTheme="minorEastAsia" w:hAnsiTheme="minorEastAsia" w:eastAsiaTheme="minorEastAsia"/>
          <w:sz w:val="24"/>
          <w:szCs w:val="24"/>
        </w:rPr>
        <w:t>),证明</w:t>
      </w:r>
      <w:r>
        <w:rPr>
          <w:rFonts w:asciiTheme="minorEastAsia" w:hAnsiTheme="minorEastAsia" w:eastAsiaTheme="minorEastAsia"/>
          <w:sz w:val="24"/>
          <w:szCs w:val="24"/>
        </w:rPr>
        <w:t>材料一般包含年营业收入、从业人员、资产总额等。</w:t>
      </w:r>
    </w:p>
    <w:p>
      <w:pPr>
        <w:pStyle w:val="4"/>
        <w:spacing w:line="40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本公司对上述声明的真实性负责。如有虚假，将依法承担相应责任。</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附件</w:t>
      </w:r>
      <w:r>
        <w:rPr>
          <w:rFonts w:cs="Calibri" w:asciiTheme="minorEastAsia" w:hAnsiTheme="minorEastAsia" w:eastAsiaTheme="minorEastAsia"/>
          <w:sz w:val="24"/>
          <w:szCs w:val="24"/>
        </w:rPr>
        <w:t>：</w:t>
      </w:r>
    </w:p>
    <w:p>
      <w:pPr>
        <w:pStyle w:val="4"/>
        <w:spacing w:line="400" w:lineRule="exact"/>
        <w:rPr>
          <w:rFonts w:asciiTheme="minorEastAsia" w:hAnsiTheme="minorEastAsia" w:eastAsiaTheme="minorEastAsia"/>
          <w:sz w:val="24"/>
          <w:szCs w:val="24"/>
        </w:rPr>
      </w:pPr>
    </w:p>
    <w:p>
      <w:pPr>
        <w:pStyle w:val="4"/>
        <w:spacing w:line="40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（公章）</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法定代表人:（签名或</w:t>
      </w:r>
      <w:r>
        <w:rPr>
          <w:rFonts w:asciiTheme="minorEastAsia" w:hAnsiTheme="minorEastAsia" w:eastAsiaTheme="minorEastAsia"/>
          <w:sz w:val="24"/>
          <w:szCs w:val="24"/>
        </w:rPr>
        <w:t>签章</w:t>
      </w:r>
      <w:r>
        <w:rPr>
          <w:rFonts w:hint="eastAsia" w:asciiTheme="minorEastAsia" w:hAnsiTheme="minorEastAsia" w:eastAsiaTheme="minorEastAsia"/>
          <w:sz w:val="24"/>
          <w:szCs w:val="24"/>
        </w:rPr>
        <w:t>）</w:t>
      </w:r>
      <w:r>
        <w:rPr>
          <w:rFonts w:cs="Calibri" w:asciiTheme="minorEastAsia" w:hAnsiTheme="minorEastAsia" w:eastAsiaTheme="minorEastAsia"/>
          <w:sz w:val="24"/>
          <w:szCs w:val="24"/>
        </w:rPr>
        <w:t>  </w:t>
      </w:r>
    </w:p>
    <w:p>
      <w:pPr>
        <w:pStyle w:val="4"/>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年</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月</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br w:type="textWrapping"/>
      </w:r>
    </w:p>
    <w:p>
      <w:pPr>
        <w:pStyle w:val="4"/>
        <w:spacing w:line="400" w:lineRule="exact"/>
        <w:rPr>
          <w:rFonts w:cs="楷体_GB2312" w:asciiTheme="minorEastAsia" w:hAnsiTheme="minorEastAsia" w:eastAsiaTheme="minorEastAsia"/>
          <w:sz w:val="24"/>
          <w:szCs w:val="24"/>
          <w:lang w:val="zh-CN"/>
        </w:rPr>
      </w:pPr>
      <w:r>
        <w:rPr>
          <w:rFonts w:hint="eastAsia" w:asciiTheme="minorEastAsia" w:hAnsiTheme="minorEastAsia" w:eastAsiaTheme="minorEastAsia"/>
          <w:sz w:val="24"/>
          <w:szCs w:val="24"/>
        </w:rPr>
        <w:t>注:非小企业不需提供此函。</w:t>
      </w:r>
    </w:p>
    <w:p>
      <w:pPr>
        <w:spacing w:line="400" w:lineRule="exact"/>
        <w:jc w:val="center"/>
        <w:rPr>
          <w:rFonts w:ascii="宋体"/>
          <w:color w:val="000000" w:themeColor="text1"/>
          <w:sz w:val="24"/>
          <w:szCs w:val="24"/>
          <w14:textFill>
            <w14:solidFill>
              <w14:schemeClr w14:val="tx1"/>
            </w14:solidFill>
          </w14:textFill>
        </w:rPr>
      </w:pPr>
    </w:p>
    <w:p>
      <w:pPr>
        <w:spacing w:line="400" w:lineRule="exact"/>
        <w:rPr>
          <w:rFonts w:ascii="宋体"/>
          <w:color w:val="000000" w:themeColor="text1"/>
          <w:sz w:val="24"/>
          <w:szCs w:val="24"/>
          <w14:textFill>
            <w14:solidFill>
              <w14:schemeClr w14:val="tx1"/>
            </w14:solidFill>
          </w14:textFill>
        </w:rPr>
      </w:pPr>
    </w:p>
    <w:p>
      <w:pPr>
        <w:spacing w:line="400" w:lineRule="exact"/>
        <w:ind w:firstLine="2400" w:firstLineChars="750"/>
        <w:rPr>
          <w:rFonts w:ascii="方正小标宋简体" w:hAnsi="仿宋" w:eastAsia="方正小标宋简体"/>
          <w:bCs/>
          <w:color w:val="000000" w:themeColor="text1"/>
          <w:sz w:val="32"/>
          <w:szCs w:val="32"/>
          <w14:textFill>
            <w14:solidFill>
              <w14:schemeClr w14:val="tx1"/>
            </w14:solidFill>
          </w14:textFill>
        </w:rPr>
      </w:pPr>
      <w:r>
        <w:rPr>
          <w:rFonts w:ascii="方正小标宋简体" w:hAnsi="仿宋" w:eastAsia="方正小标宋简体"/>
          <w:color w:val="000000" w:themeColor="text1"/>
          <w:sz w:val="32"/>
          <w:szCs w:val="32"/>
          <w14:textFill>
            <w14:solidFill>
              <w14:schemeClr w14:val="tx1"/>
            </w14:solidFill>
          </w14:textFill>
        </w:rPr>
        <w:br w:type="page"/>
      </w:r>
      <w:r>
        <w:rPr>
          <w:rFonts w:hint="eastAsia" w:ascii="方正小标宋简体" w:hAnsi="仿宋" w:eastAsia="方正小标宋简体"/>
          <w:color w:val="000000" w:themeColor="text1"/>
          <w:sz w:val="32"/>
          <w:szCs w:val="32"/>
          <w14:textFill>
            <w14:solidFill>
              <w14:schemeClr w14:val="tx1"/>
            </w14:solidFill>
          </w14:textFill>
        </w:rPr>
        <w:t xml:space="preserve">十 </w:t>
      </w:r>
      <w:r>
        <w:rPr>
          <w:rFonts w:hint="eastAsia" w:ascii="方正小标宋简体" w:hAnsi="仿宋" w:eastAsia="方正小标宋简体"/>
          <w:bCs/>
          <w:color w:val="000000" w:themeColor="text1"/>
          <w:sz w:val="32"/>
          <w:szCs w:val="32"/>
          <w14:textFill>
            <w14:solidFill>
              <w14:schemeClr w14:val="tx1"/>
            </w14:solidFill>
          </w14:textFill>
        </w:rPr>
        <w:t>履约保证金退还申请单</w:t>
      </w:r>
    </w:p>
    <w:p>
      <w:pPr>
        <w:pStyle w:val="4"/>
        <w:spacing w:line="400" w:lineRule="exact"/>
        <w:ind w:firstLine="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致淮阴工学院</w:t>
      </w:r>
      <w:r>
        <w:rPr>
          <w:rFonts w:ascii="宋体" w:hAnsi="宋体"/>
          <w:bCs/>
          <w:color w:val="000000" w:themeColor="text1"/>
          <w:sz w:val="24"/>
          <w:szCs w:val="24"/>
          <w14:textFill>
            <w14:solidFill>
              <w14:schemeClr w14:val="tx1"/>
            </w14:solidFill>
          </w14:textFill>
        </w:rPr>
        <w:t>:</w:t>
      </w:r>
    </w:p>
    <w:p>
      <w:pPr>
        <w:pStyle w:val="4"/>
        <w:spacing w:line="400" w:lineRule="exact"/>
        <w:ind w:firstLine="453" w:firstLineChars="189"/>
        <w:jc w:val="lef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我单位中标了贵校组织实施的</w:t>
      </w:r>
      <w:r>
        <w:rPr>
          <w:rFonts w:ascii="宋体" w:eastAsia="Times New Roman"/>
          <w:color w:val="000000" w:themeColor="text1"/>
          <w:sz w:val="24"/>
          <w:szCs w:val="24"/>
          <w14:textFill>
            <w14:solidFill>
              <w14:schemeClr w14:val="tx1"/>
            </w14:solidFill>
          </w14:textFill>
        </w:rPr>
        <w:t>（项目名称及项目编号）的</w:t>
      </w:r>
      <w:r>
        <w:rPr>
          <w:rFonts w:hint="eastAsia" w:ascii="宋体"/>
          <w:color w:val="000000" w:themeColor="text1"/>
          <w:sz w:val="24"/>
          <w:szCs w:val="24"/>
          <w14:textFill>
            <w14:solidFill>
              <w14:schemeClr w14:val="tx1"/>
            </w14:solidFill>
          </w14:textFill>
        </w:rPr>
        <w:t>采购</w:t>
      </w:r>
      <w:r>
        <w:rPr>
          <w:rFonts w:ascii="宋体" w:eastAsia="Times New Roman"/>
          <w:color w:val="000000" w:themeColor="text1"/>
          <w:sz w:val="24"/>
          <w:szCs w:val="24"/>
          <w14:textFill>
            <w14:solidFill>
              <w14:schemeClr w14:val="tx1"/>
            </w14:solidFill>
          </w14:textFill>
        </w:rPr>
        <w:t>活动</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目前，我单位已按合同及招标文件的规定、投标文件的承诺履行完成相关义务，项目已经通过贵校验收，符合保证金退还的条件，现向贵校申请退还我单位交纳的本项目履约保证金元。</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履约保证金退款具体信息见下表，我单位保证所提供信息的准确性，否则责任自负。</w:t>
      </w:r>
    </w:p>
    <w:tbl>
      <w:tblPr>
        <w:tblStyle w:val="14"/>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40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单位账户名称</w:t>
            </w:r>
          </w:p>
        </w:tc>
        <w:tc>
          <w:tcPr>
            <w:tcW w:w="5446" w:type="dxa"/>
            <w:vAlign w:val="center"/>
          </w:tcPr>
          <w:p>
            <w:pPr>
              <w:spacing w:line="400" w:lineRule="exact"/>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40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开户行详细信息（具体至支行）</w:t>
            </w:r>
          </w:p>
        </w:tc>
        <w:tc>
          <w:tcPr>
            <w:tcW w:w="5446" w:type="dxa"/>
            <w:vAlign w:val="center"/>
          </w:tcPr>
          <w:p>
            <w:pPr>
              <w:spacing w:line="400" w:lineRule="exact"/>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40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退款账号（退款至原汇款、转账账号）</w:t>
            </w:r>
          </w:p>
        </w:tc>
        <w:tc>
          <w:tcPr>
            <w:tcW w:w="5446" w:type="dxa"/>
            <w:vAlign w:val="center"/>
          </w:tcPr>
          <w:p>
            <w:pPr>
              <w:spacing w:line="400" w:lineRule="exact"/>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40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5446" w:type="dxa"/>
            <w:vAlign w:val="center"/>
          </w:tcPr>
          <w:p>
            <w:pPr>
              <w:spacing w:line="400" w:lineRule="exact"/>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spacing w:line="40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tc>
        <w:tc>
          <w:tcPr>
            <w:tcW w:w="5446" w:type="dxa"/>
            <w:vAlign w:val="center"/>
          </w:tcPr>
          <w:p>
            <w:pPr>
              <w:spacing w:line="40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手机：办公电话：</w:t>
            </w:r>
          </w:p>
        </w:tc>
      </w:tr>
    </w:tbl>
    <w:p>
      <w:pPr>
        <w:spacing w:line="40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备注：本项材料不装订在招标文件中，须附履约保证金收据。在通过验收后，向项目使用单位提出申请办理。</w:t>
      </w:r>
    </w:p>
    <w:p>
      <w:pPr>
        <w:spacing w:line="40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投标人名称：（名称</w:t>
      </w:r>
      <w:r>
        <w:rPr>
          <w:rFonts w:ascii="宋体"/>
          <w:color w:val="000000" w:themeColor="text1"/>
          <w:sz w:val="24"/>
          <w:szCs w:val="24"/>
          <w14:textFill>
            <w14:solidFill>
              <w14:schemeClr w14:val="tx1"/>
            </w14:solidFill>
          </w14:textFill>
        </w:rPr>
        <w:t>+</w:t>
      </w:r>
      <w:r>
        <w:rPr>
          <w:rFonts w:hint="eastAsia" w:ascii="宋体"/>
          <w:color w:val="000000" w:themeColor="text1"/>
          <w:sz w:val="24"/>
          <w:szCs w:val="24"/>
          <w14:textFill>
            <w14:solidFill>
              <w14:schemeClr w14:val="tx1"/>
            </w14:solidFill>
          </w14:textFill>
        </w:rPr>
        <w:t>公章）</w:t>
      </w:r>
    </w:p>
    <w:p>
      <w:pPr>
        <w:spacing w:line="40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授权委托人（签名）：</w:t>
      </w:r>
    </w:p>
    <w:p>
      <w:pPr>
        <w:spacing w:line="400" w:lineRule="exact"/>
        <w:ind w:firstLine="6240" w:firstLineChars="2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 xml:space="preserve">年 </w:t>
      </w:r>
      <w:r>
        <w:rPr>
          <w:rFonts w:ascii="宋体"/>
          <w:color w:val="000000" w:themeColor="text1"/>
          <w:sz w:val="24"/>
          <w:szCs w:val="24"/>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 xml:space="preserve">月 </w:t>
      </w:r>
      <w:r>
        <w:rPr>
          <w:rFonts w:ascii="宋体"/>
          <w:color w:val="000000" w:themeColor="text1"/>
          <w:sz w:val="24"/>
          <w:szCs w:val="24"/>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日</w:t>
      </w:r>
    </w:p>
    <w:p>
      <w:pPr>
        <w:spacing w:line="400" w:lineRule="exact"/>
        <w:jc w:val="center"/>
        <w:rPr>
          <w:rFonts w:ascii="方正小标宋简体" w:eastAsia="方正小标宋简体"/>
          <w:color w:val="000000" w:themeColor="text1"/>
          <w:sz w:val="30"/>
          <w:szCs w:val="30"/>
          <w14:textFill>
            <w14:solidFill>
              <w14:schemeClr w14:val="tx1"/>
            </w14:solidFill>
          </w14:textFill>
        </w:rPr>
      </w:pPr>
      <w:r>
        <w:rPr>
          <w:rFonts w:hint="eastAsia" w:ascii="方正小标宋简体" w:hAnsi="仿宋" w:eastAsia="方正小标宋简体"/>
          <w:bCs/>
          <w:color w:val="000000" w:themeColor="text1"/>
          <w:sz w:val="30"/>
          <w:szCs w:val="30"/>
          <w14:textFill>
            <w14:solidFill>
              <w14:schemeClr w14:val="tx1"/>
            </w14:solidFill>
          </w14:textFill>
        </w:rPr>
        <w:t>履约保证金退还流程表</w:t>
      </w:r>
    </w:p>
    <w:tbl>
      <w:tblPr>
        <w:tblStyle w:val="14"/>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spacing w:line="400" w:lineRule="exact"/>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spacing w:line="400" w:lineRule="exact"/>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经办人意见</w:t>
            </w:r>
          </w:p>
        </w:tc>
        <w:tc>
          <w:tcPr>
            <w:tcW w:w="6526" w:type="dxa"/>
            <w:vAlign w:val="center"/>
          </w:tcPr>
          <w:p>
            <w:pPr>
              <w:spacing w:line="400" w:lineRule="exac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（是否通过验收）</w:t>
            </w:r>
          </w:p>
          <w:p>
            <w:pPr>
              <w:spacing w:line="400" w:lineRule="exact"/>
              <w:rPr>
                <w:rFonts w:ascii="宋体"/>
                <w:color w:val="000000" w:themeColor="text1"/>
                <w:szCs w:val="21"/>
                <w14:textFill>
                  <w14:solidFill>
                    <w14:schemeClr w14:val="tx1"/>
                  </w14:solidFill>
                </w14:textFill>
              </w:rPr>
            </w:pPr>
          </w:p>
          <w:p>
            <w:pPr>
              <w:spacing w:line="400" w:lineRule="exact"/>
              <w:rPr>
                <w:rFonts w:ascii="宋体"/>
                <w:color w:val="000000" w:themeColor="text1"/>
                <w:szCs w:val="21"/>
                <w14:textFill>
                  <w14:solidFill>
                    <w14:schemeClr w14:val="tx1"/>
                  </w14:solidFill>
                </w14:textFill>
              </w:rPr>
            </w:pPr>
          </w:p>
          <w:p>
            <w:pPr>
              <w:spacing w:line="400" w:lineRule="exact"/>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经办人：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年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月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spacing w:line="400" w:lineRule="exact"/>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spacing w:line="400" w:lineRule="exact"/>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分管负责人意见</w:t>
            </w:r>
          </w:p>
        </w:tc>
        <w:tc>
          <w:tcPr>
            <w:tcW w:w="6526" w:type="dxa"/>
            <w:vAlign w:val="center"/>
          </w:tcPr>
          <w:p>
            <w:pPr>
              <w:spacing w:line="400" w:lineRule="exact"/>
              <w:rPr>
                <w:rFonts w:ascii="宋体"/>
                <w:color w:val="000000" w:themeColor="text1"/>
                <w:szCs w:val="21"/>
                <w14:textFill>
                  <w14:solidFill>
                    <w14:schemeClr w14:val="tx1"/>
                  </w14:solidFill>
                </w14:textFill>
              </w:rPr>
            </w:pPr>
          </w:p>
          <w:p>
            <w:pPr>
              <w:spacing w:line="400" w:lineRule="exact"/>
              <w:rPr>
                <w:rFonts w:ascii="宋体"/>
                <w:color w:val="000000" w:themeColor="text1"/>
                <w:szCs w:val="21"/>
                <w14:textFill>
                  <w14:solidFill>
                    <w14:schemeClr w14:val="tx1"/>
                  </w14:solidFill>
                </w14:textFill>
              </w:rPr>
            </w:pPr>
          </w:p>
          <w:p>
            <w:pPr>
              <w:spacing w:line="400" w:lineRule="exact"/>
              <w:rPr>
                <w:rFonts w:ascii="宋体"/>
                <w:color w:val="000000" w:themeColor="text1"/>
                <w:szCs w:val="21"/>
                <w14:textFill>
                  <w14:solidFill>
                    <w14:schemeClr w14:val="tx1"/>
                  </w14:solidFill>
                </w14:textFill>
              </w:rPr>
            </w:pPr>
          </w:p>
          <w:p>
            <w:pPr>
              <w:spacing w:line="400" w:lineRule="exact"/>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负责人：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年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月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spacing w:line="400" w:lineRule="exact"/>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项目主管部门</w:t>
            </w:r>
          </w:p>
          <w:p>
            <w:pPr>
              <w:spacing w:line="400" w:lineRule="exact"/>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意见</w:t>
            </w:r>
          </w:p>
        </w:tc>
        <w:tc>
          <w:tcPr>
            <w:tcW w:w="6526" w:type="dxa"/>
            <w:vAlign w:val="center"/>
          </w:tcPr>
          <w:p>
            <w:pPr>
              <w:spacing w:line="400" w:lineRule="exact"/>
              <w:rPr>
                <w:rFonts w:ascii="宋体"/>
                <w:color w:val="000000" w:themeColor="text1"/>
                <w:szCs w:val="21"/>
                <w14:textFill>
                  <w14:solidFill>
                    <w14:schemeClr w14:val="tx1"/>
                  </w14:solidFill>
                </w14:textFill>
              </w:rPr>
            </w:pPr>
          </w:p>
          <w:p>
            <w:pPr>
              <w:spacing w:line="400" w:lineRule="exact"/>
              <w:rPr>
                <w:rFonts w:ascii="宋体"/>
                <w:color w:val="000000" w:themeColor="text1"/>
                <w:szCs w:val="21"/>
                <w14:textFill>
                  <w14:solidFill>
                    <w14:schemeClr w14:val="tx1"/>
                  </w14:solidFill>
                </w14:textFill>
              </w:rPr>
            </w:pPr>
          </w:p>
          <w:p>
            <w:pPr>
              <w:spacing w:line="400" w:lineRule="exact"/>
              <w:rPr>
                <w:rFonts w:ascii="宋体"/>
                <w:color w:val="000000" w:themeColor="text1"/>
                <w:szCs w:val="21"/>
                <w14:textFill>
                  <w14:solidFill>
                    <w14:schemeClr w14:val="tx1"/>
                  </w14:solidFill>
                </w14:textFill>
              </w:rPr>
            </w:pPr>
          </w:p>
          <w:p>
            <w:pPr>
              <w:spacing w:line="400" w:lineRule="exact"/>
              <w:rPr>
                <w:rFonts w:ascii="宋体"/>
                <w:color w:val="000000" w:themeColor="text1"/>
                <w:szCs w:val="21"/>
                <w14:textFill>
                  <w14:solidFill>
                    <w14:schemeClr w14:val="tx1"/>
                  </w14:solidFill>
                </w14:textFill>
              </w:rPr>
            </w:pPr>
          </w:p>
          <w:p>
            <w:pPr>
              <w:spacing w:line="400" w:lineRule="exact"/>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负责人：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年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 xml:space="preserve">月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tc>
      </w:tr>
    </w:tbl>
    <w:p>
      <w:pPr>
        <w:spacing w:line="640" w:lineRule="exact"/>
        <w:ind w:firstLine="2400" w:firstLineChars="750"/>
        <w:rPr>
          <w:rFonts w:eastAsia="方正小标宋简体"/>
          <w:bCs/>
          <w:color w:val="000000" w:themeColor="text1"/>
          <w:sz w:val="32"/>
          <w:szCs w:val="32"/>
          <w14:textFill>
            <w14:solidFill>
              <w14:schemeClr w14:val="tx1"/>
            </w14:solidFill>
          </w14:textFill>
        </w:rPr>
      </w:pPr>
      <w:r>
        <w:rPr>
          <w:rFonts w:hint="eastAsia" w:eastAsia="方正小标宋简体"/>
          <w:bCs/>
          <w:color w:val="000000" w:themeColor="text1"/>
          <w:sz w:val="32"/>
          <w:szCs w:val="32"/>
          <w14:textFill>
            <w14:solidFill>
              <w14:schemeClr w14:val="tx1"/>
            </w14:solidFill>
          </w14:textFill>
        </w:rPr>
        <w:t>十一 供应商参与投标确认函</w:t>
      </w:r>
    </w:p>
    <w:p>
      <w:pPr>
        <w:jc w:val="center"/>
        <w:rPr>
          <w:rFonts w:eastAsia="楷体_GB2312"/>
          <w:b/>
          <w:color w:val="000000" w:themeColor="text1"/>
          <w:sz w:val="44"/>
          <w:szCs w:val="44"/>
          <w14:textFill>
            <w14:solidFill>
              <w14:schemeClr w14:val="tx1"/>
            </w14:solidFill>
          </w14:textFill>
        </w:rPr>
      </w:pPr>
    </w:p>
    <w:p>
      <w:pPr>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淮阴工学院招投标办公室：</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我单位将参与采购项目（项目编号:          ）的投标，现已在淮阴工学院网站下载招标文件，特发函确认。</w:t>
      </w:r>
    </w:p>
    <w:p>
      <w:pPr>
        <w:ind w:firstLine="600" w:firstLineChars="200"/>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供应商名称：</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授权委托人：</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授权委托人移动电话：</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电子邮箱：</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法定代表人(签章)：</w:t>
      </w:r>
    </w:p>
    <w:p>
      <w:pPr>
        <w:pStyle w:val="2"/>
        <w:rPr>
          <w:color w:val="000000" w:themeColor="text1"/>
          <w:lang w:val="en-US"/>
          <w14:textFill>
            <w14:solidFill>
              <w14:schemeClr w14:val="tx1"/>
            </w14:solidFill>
          </w14:textFill>
        </w:rPr>
      </w:pPr>
      <w:r>
        <w:rPr>
          <w:rFonts w:hint="eastAsia"/>
          <w:color w:val="000000" w:themeColor="text1"/>
          <w:lang w:val="en-US"/>
          <w14:textFill>
            <w14:solidFill>
              <w14:schemeClr w14:val="tx1"/>
            </w14:solidFill>
          </w14:textFill>
        </w:rPr>
        <w:t>附件：提供授权委托人身份证复印件</w:t>
      </w:r>
    </w:p>
    <w:p>
      <w:pPr>
        <w:ind w:left="5100" w:hanging="5100" w:hangingChars="1700"/>
        <w:jc w:val="right"/>
        <w:rPr>
          <w:color w:val="000000" w:themeColor="text1"/>
          <w:sz w:val="30"/>
          <w:szCs w:val="30"/>
          <w14:textFill>
            <w14:solidFill>
              <w14:schemeClr w14:val="tx1"/>
            </w14:solidFill>
          </w14:textFill>
        </w:rPr>
      </w:pPr>
    </w:p>
    <w:p>
      <w:pPr>
        <w:wordWrap w:val="0"/>
        <w:ind w:left="4760" w:right="560" w:hanging="4760" w:hangingChars="1700"/>
        <w:jc w:val="righ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（单位公章）</w:t>
      </w:r>
    </w:p>
    <w:p>
      <w:pPr>
        <w:ind w:left="5180" w:right="560" w:hanging="5180" w:hangingChars="185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年　月　日</w:t>
      </w:r>
    </w:p>
    <w:p>
      <w:pPr>
        <w:pStyle w:val="2"/>
        <w:spacing w:line="400" w:lineRule="exact"/>
        <w:ind w:firstLine="0" w:firstLineChars="0"/>
        <w:rPr>
          <w:color w:val="000000" w:themeColor="text1"/>
          <w:lang w:val="en-US"/>
          <w14:textFill>
            <w14:solidFill>
              <w14:schemeClr w14:val="tx1"/>
            </w14:solidFill>
          </w14:textFill>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28</w:t>
    </w:r>
    <w:r>
      <w:rPr>
        <w:lang w:val="zh-CN"/>
      </w:rPr>
      <w:fldChar w:fldCharType="end"/>
    </w:r>
  </w:p>
  <w:p>
    <w:pPr>
      <w:pStyle w:val="1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972A7"/>
    <w:multiLevelType w:val="singleLevel"/>
    <w:tmpl w:val="409972A7"/>
    <w:lvl w:ilvl="0" w:tentative="0">
      <w:start w:val="1"/>
      <w:numFmt w:val="japaneseCounting"/>
      <w:lvlText w:val="%1、"/>
      <w:lvlJc w:val="left"/>
      <w:pPr>
        <w:tabs>
          <w:tab w:val="left" w:pos="1128"/>
        </w:tabs>
        <w:ind w:left="1128" w:hanging="55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E"/>
    <w:rsid w:val="00000F8B"/>
    <w:rsid w:val="00002232"/>
    <w:rsid w:val="000023D8"/>
    <w:rsid w:val="00003108"/>
    <w:rsid w:val="00006AFA"/>
    <w:rsid w:val="000100ED"/>
    <w:rsid w:val="00014005"/>
    <w:rsid w:val="000144E9"/>
    <w:rsid w:val="000157D6"/>
    <w:rsid w:val="00017890"/>
    <w:rsid w:val="000242A0"/>
    <w:rsid w:val="000265D9"/>
    <w:rsid w:val="00027BE0"/>
    <w:rsid w:val="00030BFE"/>
    <w:rsid w:val="000342F2"/>
    <w:rsid w:val="00034DF1"/>
    <w:rsid w:val="00035CFA"/>
    <w:rsid w:val="00037A44"/>
    <w:rsid w:val="00040928"/>
    <w:rsid w:val="000421F8"/>
    <w:rsid w:val="000433B2"/>
    <w:rsid w:val="00045B5E"/>
    <w:rsid w:val="00045F5A"/>
    <w:rsid w:val="000478B3"/>
    <w:rsid w:val="00047B69"/>
    <w:rsid w:val="00047E25"/>
    <w:rsid w:val="000517D2"/>
    <w:rsid w:val="00055323"/>
    <w:rsid w:val="00056E5E"/>
    <w:rsid w:val="00056FF7"/>
    <w:rsid w:val="0006064C"/>
    <w:rsid w:val="00061FE6"/>
    <w:rsid w:val="00062965"/>
    <w:rsid w:val="00062992"/>
    <w:rsid w:val="00065A65"/>
    <w:rsid w:val="00066003"/>
    <w:rsid w:val="0007143D"/>
    <w:rsid w:val="000717DA"/>
    <w:rsid w:val="00071B54"/>
    <w:rsid w:val="00071D88"/>
    <w:rsid w:val="00073BF5"/>
    <w:rsid w:val="00075395"/>
    <w:rsid w:val="0007566C"/>
    <w:rsid w:val="000757FF"/>
    <w:rsid w:val="000829AC"/>
    <w:rsid w:val="00083A47"/>
    <w:rsid w:val="00083BB2"/>
    <w:rsid w:val="00084E6C"/>
    <w:rsid w:val="00085295"/>
    <w:rsid w:val="000865C6"/>
    <w:rsid w:val="00086609"/>
    <w:rsid w:val="00086F10"/>
    <w:rsid w:val="00087B26"/>
    <w:rsid w:val="00090767"/>
    <w:rsid w:val="00090BFC"/>
    <w:rsid w:val="00091A0E"/>
    <w:rsid w:val="00092991"/>
    <w:rsid w:val="000929DF"/>
    <w:rsid w:val="000932D3"/>
    <w:rsid w:val="000968B8"/>
    <w:rsid w:val="00096917"/>
    <w:rsid w:val="00097CB8"/>
    <w:rsid w:val="000A1C36"/>
    <w:rsid w:val="000A3585"/>
    <w:rsid w:val="000B032C"/>
    <w:rsid w:val="000B0C7B"/>
    <w:rsid w:val="000B12B0"/>
    <w:rsid w:val="000B43D7"/>
    <w:rsid w:val="000B4DFE"/>
    <w:rsid w:val="000B59A0"/>
    <w:rsid w:val="000B686E"/>
    <w:rsid w:val="000B7F28"/>
    <w:rsid w:val="000C220D"/>
    <w:rsid w:val="000C3243"/>
    <w:rsid w:val="000C3249"/>
    <w:rsid w:val="000C3DB4"/>
    <w:rsid w:val="000C5CCA"/>
    <w:rsid w:val="000C5FA7"/>
    <w:rsid w:val="000C70E3"/>
    <w:rsid w:val="000C7B20"/>
    <w:rsid w:val="000D1005"/>
    <w:rsid w:val="000D2FE5"/>
    <w:rsid w:val="000D4202"/>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0F6F9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4ADE"/>
    <w:rsid w:val="00135F84"/>
    <w:rsid w:val="00142553"/>
    <w:rsid w:val="0014296F"/>
    <w:rsid w:val="00146573"/>
    <w:rsid w:val="00150973"/>
    <w:rsid w:val="00150DC5"/>
    <w:rsid w:val="00151324"/>
    <w:rsid w:val="001515F4"/>
    <w:rsid w:val="001516FC"/>
    <w:rsid w:val="00152DB1"/>
    <w:rsid w:val="0015312B"/>
    <w:rsid w:val="00154A97"/>
    <w:rsid w:val="00156A0F"/>
    <w:rsid w:val="00156B5D"/>
    <w:rsid w:val="00162994"/>
    <w:rsid w:val="00166132"/>
    <w:rsid w:val="00170627"/>
    <w:rsid w:val="001706A3"/>
    <w:rsid w:val="001709E5"/>
    <w:rsid w:val="001738B1"/>
    <w:rsid w:val="001767F2"/>
    <w:rsid w:val="00176A63"/>
    <w:rsid w:val="00182B40"/>
    <w:rsid w:val="00183749"/>
    <w:rsid w:val="00183B90"/>
    <w:rsid w:val="00184BC8"/>
    <w:rsid w:val="0018524D"/>
    <w:rsid w:val="00187CF2"/>
    <w:rsid w:val="00190D36"/>
    <w:rsid w:val="00195F82"/>
    <w:rsid w:val="00196BD8"/>
    <w:rsid w:val="001A1AA6"/>
    <w:rsid w:val="001A38D3"/>
    <w:rsid w:val="001A71BF"/>
    <w:rsid w:val="001A7DC1"/>
    <w:rsid w:val="001B4969"/>
    <w:rsid w:val="001B5E69"/>
    <w:rsid w:val="001C0046"/>
    <w:rsid w:val="001C193E"/>
    <w:rsid w:val="001C1B9C"/>
    <w:rsid w:val="001C48A2"/>
    <w:rsid w:val="001C6B88"/>
    <w:rsid w:val="001C76A1"/>
    <w:rsid w:val="001D1927"/>
    <w:rsid w:val="001D1A07"/>
    <w:rsid w:val="001D1AB1"/>
    <w:rsid w:val="001D5B16"/>
    <w:rsid w:val="001D5BF3"/>
    <w:rsid w:val="001E02EE"/>
    <w:rsid w:val="001E2E0C"/>
    <w:rsid w:val="001E3016"/>
    <w:rsid w:val="001E78DD"/>
    <w:rsid w:val="001F354D"/>
    <w:rsid w:val="001F60BA"/>
    <w:rsid w:val="001F7EAC"/>
    <w:rsid w:val="002002D2"/>
    <w:rsid w:val="00200DF3"/>
    <w:rsid w:val="0020155E"/>
    <w:rsid w:val="0020330E"/>
    <w:rsid w:val="002069CB"/>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5339"/>
    <w:rsid w:val="00246D5C"/>
    <w:rsid w:val="002470C2"/>
    <w:rsid w:val="00252514"/>
    <w:rsid w:val="002629EE"/>
    <w:rsid w:val="00264A30"/>
    <w:rsid w:val="0026588F"/>
    <w:rsid w:val="002712A1"/>
    <w:rsid w:val="0027130D"/>
    <w:rsid w:val="00272208"/>
    <w:rsid w:val="00272F8B"/>
    <w:rsid w:val="002733A9"/>
    <w:rsid w:val="0028016E"/>
    <w:rsid w:val="00283806"/>
    <w:rsid w:val="0028544B"/>
    <w:rsid w:val="002862FD"/>
    <w:rsid w:val="00293127"/>
    <w:rsid w:val="00295527"/>
    <w:rsid w:val="0029737B"/>
    <w:rsid w:val="0029747E"/>
    <w:rsid w:val="002A08C5"/>
    <w:rsid w:val="002A1966"/>
    <w:rsid w:val="002A3924"/>
    <w:rsid w:val="002A443E"/>
    <w:rsid w:val="002A7F40"/>
    <w:rsid w:val="002B1504"/>
    <w:rsid w:val="002B1E9E"/>
    <w:rsid w:val="002B1F1A"/>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6B21"/>
    <w:rsid w:val="002F0B75"/>
    <w:rsid w:val="002F1D1C"/>
    <w:rsid w:val="002F4531"/>
    <w:rsid w:val="002F7056"/>
    <w:rsid w:val="00300181"/>
    <w:rsid w:val="003004B3"/>
    <w:rsid w:val="00302FCF"/>
    <w:rsid w:val="0030396A"/>
    <w:rsid w:val="003068EA"/>
    <w:rsid w:val="00307A63"/>
    <w:rsid w:val="00311074"/>
    <w:rsid w:val="00311919"/>
    <w:rsid w:val="00314879"/>
    <w:rsid w:val="00314E00"/>
    <w:rsid w:val="00315698"/>
    <w:rsid w:val="00315A8A"/>
    <w:rsid w:val="00321127"/>
    <w:rsid w:val="00321A04"/>
    <w:rsid w:val="00321A8A"/>
    <w:rsid w:val="00322FF8"/>
    <w:rsid w:val="00335CE0"/>
    <w:rsid w:val="003368E5"/>
    <w:rsid w:val="00336F1F"/>
    <w:rsid w:val="00337E4B"/>
    <w:rsid w:val="003402E6"/>
    <w:rsid w:val="0034035D"/>
    <w:rsid w:val="00340C5F"/>
    <w:rsid w:val="00342244"/>
    <w:rsid w:val="003428BE"/>
    <w:rsid w:val="00344689"/>
    <w:rsid w:val="00345290"/>
    <w:rsid w:val="00345D48"/>
    <w:rsid w:val="00347629"/>
    <w:rsid w:val="0036034F"/>
    <w:rsid w:val="0036204F"/>
    <w:rsid w:val="0036213F"/>
    <w:rsid w:val="00363C01"/>
    <w:rsid w:val="003646DA"/>
    <w:rsid w:val="00367BCC"/>
    <w:rsid w:val="00374B29"/>
    <w:rsid w:val="003769E1"/>
    <w:rsid w:val="0038013D"/>
    <w:rsid w:val="00381A7A"/>
    <w:rsid w:val="0038645C"/>
    <w:rsid w:val="00390BD2"/>
    <w:rsid w:val="003941DA"/>
    <w:rsid w:val="00397C2F"/>
    <w:rsid w:val="003A0DA2"/>
    <w:rsid w:val="003A10C6"/>
    <w:rsid w:val="003A35EB"/>
    <w:rsid w:val="003A5449"/>
    <w:rsid w:val="003A56D3"/>
    <w:rsid w:val="003A7F29"/>
    <w:rsid w:val="003B06F3"/>
    <w:rsid w:val="003B445F"/>
    <w:rsid w:val="003B51D3"/>
    <w:rsid w:val="003B63F6"/>
    <w:rsid w:val="003B7351"/>
    <w:rsid w:val="003C1050"/>
    <w:rsid w:val="003C12AB"/>
    <w:rsid w:val="003C2AF6"/>
    <w:rsid w:val="003C3F1B"/>
    <w:rsid w:val="003D0578"/>
    <w:rsid w:val="003D1E7B"/>
    <w:rsid w:val="003D1F54"/>
    <w:rsid w:val="003D302E"/>
    <w:rsid w:val="003D5614"/>
    <w:rsid w:val="003D7765"/>
    <w:rsid w:val="003E73B4"/>
    <w:rsid w:val="003F3D31"/>
    <w:rsid w:val="003F4121"/>
    <w:rsid w:val="003F41D3"/>
    <w:rsid w:val="003F45D7"/>
    <w:rsid w:val="003F486A"/>
    <w:rsid w:val="0040217D"/>
    <w:rsid w:val="00402E23"/>
    <w:rsid w:val="0040312C"/>
    <w:rsid w:val="00405B00"/>
    <w:rsid w:val="0040752A"/>
    <w:rsid w:val="00407FF8"/>
    <w:rsid w:val="00411FF9"/>
    <w:rsid w:val="0041249C"/>
    <w:rsid w:val="00412EB8"/>
    <w:rsid w:val="00413322"/>
    <w:rsid w:val="004136AD"/>
    <w:rsid w:val="00413F9A"/>
    <w:rsid w:val="00416ECE"/>
    <w:rsid w:val="00417831"/>
    <w:rsid w:val="00421DF1"/>
    <w:rsid w:val="0042426B"/>
    <w:rsid w:val="00425431"/>
    <w:rsid w:val="00425D6A"/>
    <w:rsid w:val="00427F76"/>
    <w:rsid w:val="00431075"/>
    <w:rsid w:val="00431608"/>
    <w:rsid w:val="00435587"/>
    <w:rsid w:val="004355FE"/>
    <w:rsid w:val="00435A23"/>
    <w:rsid w:val="00436416"/>
    <w:rsid w:val="00441377"/>
    <w:rsid w:val="00443C0D"/>
    <w:rsid w:val="004449E4"/>
    <w:rsid w:val="00445BEC"/>
    <w:rsid w:val="00445D8C"/>
    <w:rsid w:val="004476C3"/>
    <w:rsid w:val="004505BC"/>
    <w:rsid w:val="0045473F"/>
    <w:rsid w:val="00462DC7"/>
    <w:rsid w:val="004632BC"/>
    <w:rsid w:val="00463958"/>
    <w:rsid w:val="004646CA"/>
    <w:rsid w:val="00464F7B"/>
    <w:rsid w:val="004653F0"/>
    <w:rsid w:val="00471B87"/>
    <w:rsid w:val="00472C84"/>
    <w:rsid w:val="00473990"/>
    <w:rsid w:val="00473F9E"/>
    <w:rsid w:val="00474B9B"/>
    <w:rsid w:val="00482C8A"/>
    <w:rsid w:val="00484BB7"/>
    <w:rsid w:val="00484D2C"/>
    <w:rsid w:val="00484E12"/>
    <w:rsid w:val="00485B44"/>
    <w:rsid w:val="00491327"/>
    <w:rsid w:val="00491AC5"/>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4DFD"/>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30D3A"/>
    <w:rsid w:val="00530D4E"/>
    <w:rsid w:val="005313DE"/>
    <w:rsid w:val="005323BF"/>
    <w:rsid w:val="00534872"/>
    <w:rsid w:val="005348DE"/>
    <w:rsid w:val="00540FBC"/>
    <w:rsid w:val="005448C0"/>
    <w:rsid w:val="00545FF0"/>
    <w:rsid w:val="005521FF"/>
    <w:rsid w:val="00553274"/>
    <w:rsid w:val="005559A2"/>
    <w:rsid w:val="00557B9E"/>
    <w:rsid w:val="00562D14"/>
    <w:rsid w:val="00562D30"/>
    <w:rsid w:val="00571C8B"/>
    <w:rsid w:val="005724BE"/>
    <w:rsid w:val="005740B8"/>
    <w:rsid w:val="00575198"/>
    <w:rsid w:val="0057566E"/>
    <w:rsid w:val="00580B08"/>
    <w:rsid w:val="005814F6"/>
    <w:rsid w:val="00582275"/>
    <w:rsid w:val="0058354C"/>
    <w:rsid w:val="00583F63"/>
    <w:rsid w:val="005845F8"/>
    <w:rsid w:val="00585AC2"/>
    <w:rsid w:val="005874C5"/>
    <w:rsid w:val="005904BF"/>
    <w:rsid w:val="005912A8"/>
    <w:rsid w:val="00593036"/>
    <w:rsid w:val="00594BB2"/>
    <w:rsid w:val="00594E9C"/>
    <w:rsid w:val="00595293"/>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43E"/>
    <w:rsid w:val="005D2F11"/>
    <w:rsid w:val="005D3F0C"/>
    <w:rsid w:val="005E0170"/>
    <w:rsid w:val="005E2C6F"/>
    <w:rsid w:val="005E7195"/>
    <w:rsid w:val="005F0BC0"/>
    <w:rsid w:val="005F3A6F"/>
    <w:rsid w:val="005F3C27"/>
    <w:rsid w:val="005F690E"/>
    <w:rsid w:val="00600715"/>
    <w:rsid w:val="00600A66"/>
    <w:rsid w:val="00600E77"/>
    <w:rsid w:val="00601435"/>
    <w:rsid w:val="006019A6"/>
    <w:rsid w:val="0060236D"/>
    <w:rsid w:val="00610E5C"/>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4C2"/>
    <w:rsid w:val="00646677"/>
    <w:rsid w:val="00646919"/>
    <w:rsid w:val="00650302"/>
    <w:rsid w:val="00650AA5"/>
    <w:rsid w:val="00653416"/>
    <w:rsid w:val="00653E0A"/>
    <w:rsid w:val="006574E8"/>
    <w:rsid w:val="006600FB"/>
    <w:rsid w:val="0066162F"/>
    <w:rsid w:val="006626A1"/>
    <w:rsid w:val="0066452C"/>
    <w:rsid w:val="0066606F"/>
    <w:rsid w:val="00670AD9"/>
    <w:rsid w:val="00670D6A"/>
    <w:rsid w:val="0067796F"/>
    <w:rsid w:val="0068118F"/>
    <w:rsid w:val="006811FD"/>
    <w:rsid w:val="006844CA"/>
    <w:rsid w:val="00685120"/>
    <w:rsid w:val="00685174"/>
    <w:rsid w:val="00690775"/>
    <w:rsid w:val="006911D7"/>
    <w:rsid w:val="00691453"/>
    <w:rsid w:val="0069229A"/>
    <w:rsid w:val="00692937"/>
    <w:rsid w:val="00696585"/>
    <w:rsid w:val="006973CC"/>
    <w:rsid w:val="00697DD7"/>
    <w:rsid w:val="006A0CA0"/>
    <w:rsid w:val="006A1681"/>
    <w:rsid w:val="006A2C44"/>
    <w:rsid w:val="006A4E85"/>
    <w:rsid w:val="006B188D"/>
    <w:rsid w:val="006B2B19"/>
    <w:rsid w:val="006B2E18"/>
    <w:rsid w:val="006B51AA"/>
    <w:rsid w:val="006B5BF3"/>
    <w:rsid w:val="006C0F80"/>
    <w:rsid w:val="006C4312"/>
    <w:rsid w:val="006C4B9B"/>
    <w:rsid w:val="006C5205"/>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445E"/>
    <w:rsid w:val="006F4BD8"/>
    <w:rsid w:val="006F571C"/>
    <w:rsid w:val="006F57C2"/>
    <w:rsid w:val="006F5CF3"/>
    <w:rsid w:val="006F62E0"/>
    <w:rsid w:val="007039EA"/>
    <w:rsid w:val="00704A87"/>
    <w:rsid w:val="00712286"/>
    <w:rsid w:val="007137A6"/>
    <w:rsid w:val="00720C7F"/>
    <w:rsid w:val="00722CF2"/>
    <w:rsid w:val="00726D8B"/>
    <w:rsid w:val="00730FDD"/>
    <w:rsid w:val="00731A32"/>
    <w:rsid w:val="00732E9E"/>
    <w:rsid w:val="007331AD"/>
    <w:rsid w:val="00736996"/>
    <w:rsid w:val="00737410"/>
    <w:rsid w:val="00737AB5"/>
    <w:rsid w:val="0074090C"/>
    <w:rsid w:val="00740A99"/>
    <w:rsid w:val="00746008"/>
    <w:rsid w:val="007477F6"/>
    <w:rsid w:val="00747DB8"/>
    <w:rsid w:val="00751712"/>
    <w:rsid w:val="00754273"/>
    <w:rsid w:val="0075509A"/>
    <w:rsid w:val="007568E5"/>
    <w:rsid w:val="00764F28"/>
    <w:rsid w:val="007654C3"/>
    <w:rsid w:val="007663C0"/>
    <w:rsid w:val="007707C1"/>
    <w:rsid w:val="00771DD2"/>
    <w:rsid w:val="0077242B"/>
    <w:rsid w:val="00774107"/>
    <w:rsid w:val="007776F7"/>
    <w:rsid w:val="00781302"/>
    <w:rsid w:val="00781AA3"/>
    <w:rsid w:val="00781E9E"/>
    <w:rsid w:val="00782C13"/>
    <w:rsid w:val="007834A5"/>
    <w:rsid w:val="00786077"/>
    <w:rsid w:val="00786DF6"/>
    <w:rsid w:val="00790D98"/>
    <w:rsid w:val="00794BDA"/>
    <w:rsid w:val="00795C61"/>
    <w:rsid w:val="00795D9A"/>
    <w:rsid w:val="007969BB"/>
    <w:rsid w:val="00796D8D"/>
    <w:rsid w:val="007A15EF"/>
    <w:rsid w:val="007A17B8"/>
    <w:rsid w:val="007A2797"/>
    <w:rsid w:val="007A34FC"/>
    <w:rsid w:val="007A509F"/>
    <w:rsid w:val="007A6765"/>
    <w:rsid w:val="007A7ECC"/>
    <w:rsid w:val="007B06D8"/>
    <w:rsid w:val="007B1A8B"/>
    <w:rsid w:val="007B3E51"/>
    <w:rsid w:val="007B46E4"/>
    <w:rsid w:val="007B5457"/>
    <w:rsid w:val="007B69E4"/>
    <w:rsid w:val="007C3ACC"/>
    <w:rsid w:val="007C3DAD"/>
    <w:rsid w:val="007C4AE3"/>
    <w:rsid w:val="007C580E"/>
    <w:rsid w:val="007D0EF0"/>
    <w:rsid w:val="007D373F"/>
    <w:rsid w:val="007D76B6"/>
    <w:rsid w:val="007D799E"/>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6BC3"/>
    <w:rsid w:val="00816C3F"/>
    <w:rsid w:val="00817077"/>
    <w:rsid w:val="00821B74"/>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30C"/>
    <w:rsid w:val="0084621F"/>
    <w:rsid w:val="00846950"/>
    <w:rsid w:val="0084799F"/>
    <w:rsid w:val="008514E7"/>
    <w:rsid w:val="00851E90"/>
    <w:rsid w:val="008531D4"/>
    <w:rsid w:val="0085364C"/>
    <w:rsid w:val="00854D58"/>
    <w:rsid w:val="0085795F"/>
    <w:rsid w:val="00862408"/>
    <w:rsid w:val="008624CF"/>
    <w:rsid w:val="008625B0"/>
    <w:rsid w:val="00864522"/>
    <w:rsid w:val="00865909"/>
    <w:rsid w:val="00866993"/>
    <w:rsid w:val="00870865"/>
    <w:rsid w:val="00870DB4"/>
    <w:rsid w:val="00871A83"/>
    <w:rsid w:val="00873663"/>
    <w:rsid w:val="00873E9A"/>
    <w:rsid w:val="0087527F"/>
    <w:rsid w:val="00875BFD"/>
    <w:rsid w:val="00877621"/>
    <w:rsid w:val="00883A71"/>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C4E18"/>
    <w:rsid w:val="008D0D61"/>
    <w:rsid w:val="008D179B"/>
    <w:rsid w:val="008D2926"/>
    <w:rsid w:val="008D3F0C"/>
    <w:rsid w:val="008D3F8A"/>
    <w:rsid w:val="008D6A9F"/>
    <w:rsid w:val="008E1ADF"/>
    <w:rsid w:val="008E31EA"/>
    <w:rsid w:val="008E4029"/>
    <w:rsid w:val="008E48DB"/>
    <w:rsid w:val="008E7A72"/>
    <w:rsid w:val="008F00A8"/>
    <w:rsid w:val="008F3A61"/>
    <w:rsid w:val="008F43F9"/>
    <w:rsid w:val="00902C52"/>
    <w:rsid w:val="00903791"/>
    <w:rsid w:val="00904754"/>
    <w:rsid w:val="00905B7E"/>
    <w:rsid w:val="00906F67"/>
    <w:rsid w:val="0091099A"/>
    <w:rsid w:val="00910E66"/>
    <w:rsid w:val="009127E0"/>
    <w:rsid w:val="00913281"/>
    <w:rsid w:val="00916F05"/>
    <w:rsid w:val="00920158"/>
    <w:rsid w:val="00921850"/>
    <w:rsid w:val="00921B83"/>
    <w:rsid w:val="00922A43"/>
    <w:rsid w:val="00924230"/>
    <w:rsid w:val="00925E52"/>
    <w:rsid w:val="009260BF"/>
    <w:rsid w:val="00926F2F"/>
    <w:rsid w:val="00932823"/>
    <w:rsid w:val="00932992"/>
    <w:rsid w:val="009332C8"/>
    <w:rsid w:val="00933FF2"/>
    <w:rsid w:val="00934768"/>
    <w:rsid w:val="00935624"/>
    <w:rsid w:val="00935712"/>
    <w:rsid w:val="00936311"/>
    <w:rsid w:val="009435DA"/>
    <w:rsid w:val="009439B7"/>
    <w:rsid w:val="00944DF7"/>
    <w:rsid w:val="009459E1"/>
    <w:rsid w:val="0094748B"/>
    <w:rsid w:val="00955531"/>
    <w:rsid w:val="009559B1"/>
    <w:rsid w:val="00957B1F"/>
    <w:rsid w:val="00960F1C"/>
    <w:rsid w:val="009613BA"/>
    <w:rsid w:val="00961B94"/>
    <w:rsid w:val="00962D9D"/>
    <w:rsid w:val="00963396"/>
    <w:rsid w:val="00966A1E"/>
    <w:rsid w:val="009719C9"/>
    <w:rsid w:val="009731D6"/>
    <w:rsid w:val="00975873"/>
    <w:rsid w:val="0098031B"/>
    <w:rsid w:val="0098122D"/>
    <w:rsid w:val="00982220"/>
    <w:rsid w:val="00983761"/>
    <w:rsid w:val="009837AD"/>
    <w:rsid w:val="00984CD9"/>
    <w:rsid w:val="009850C6"/>
    <w:rsid w:val="00985B88"/>
    <w:rsid w:val="009870D3"/>
    <w:rsid w:val="00990178"/>
    <w:rsid w:val="0099305A"/>
    <w:rsid w:val="009A0FA5"/>
    <w:rsid w:val="009A270B"/>
    <w:rsid w:val="009A4473"/>
    <w:rsid w:val="009A47D0"/>
    <w:rsid w:val="009A5763"/>
    <w:rsid w:val="009A6AF1"/>
    <w:rsid w:val="009B19E3"/>
    <w:rsid w:val="009B1E46"/>
    <w:rsid w:val="009B2539"/>
    <w:rsid w:val="009B325F"/>
    <w:rsid w:val="009B3DF3"/>
    <w:rsid w:val="009B446E"/>
    <w:rsid w:val="009B5324"/>
    <w:rsid w:val="009B690C"/>
    <w:rsid w:val="009C429F"/>
    <w:rsid w:val="009C6FBB"/>
    <w:rsid w:val="009C7295"/>
    <w:rsid w:val="009C7892"/>
    <w:rsid w:val="009C7E2D"/>
    <w:rsid w:val="009D1591"/>
    <w:rsid w:val="009D1645"/>
    <w:rsid w:val="009D2257"/>
    <w:rsid w:val="009D2CB7"/>
    <w:rsid w:val="009D7336"/>
    <w:rsid w:val="009D733E"/>
    <w:rsid w:val="009E24A1"/>
    <w:rsid w:val="009E3436"/>
    <w:rsid w:val="009E59EE"/>
    <w:rsid w:val="009F0543"/>
    <w:rsid w:val="009F0DE1"/>
    <w:rsid w:val="009F2AC7"/>
    <w:rsid w:val="009F2CD3"/>
    <w:rsid w:val="009F2E82"/>
    <w:rsid w:val="00A00106"/>
    <w:rsid w:val="00A01A3C"/>
    <w:rsid w:val="00A03023"/>
    <w:rsid w:val="00A03762"/>
    <w:rsid w:val="00A05DD8"/>
    <w:rsid w:val="00A061F7"/>
    <w:rsid w:val="00A0631A"/>
    <w:rsid w:val="00A108AF"/>
    <w:rsid w:val="00A10E4B"/>
    <w:rsid w:val="00A12E06"/>
    <w:rsid w:val="00A13E22"/>
    <w:rsid w:val="00A14E59"/>
    <w:rsid w:val="00A160A2"/>
    <w:rsid w:val="00A16CC7"/>
    <w:rsid w:val="00A176AA"/>
    <w:rsid w:val="00A21ABF"/>
    <w:rsid w:val="00A21EAE"/>
    <w:rsid w:val="00A227E8"/>
    <w:rsid w:val="00A24B69"/>
    <w:rsid w:val="00A253F4"/>
    <w:rsid w:val="00A276CB"/>
    <w:rsid w:val="00A31FF9"/>
    <w:rsid w:val="00A328BC"/>
    <w:rsid w:val="00A33EBF"/>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0F86"/>
    <w:rsid w:val="00A610B0"/>
    <w:rsid w:val="00A64A40"/>
    <w:rsid w:val="00A656B4"/>
    <w:rsid w:val="00A709E9"/>
    <w:rsid w:val="00A70F56"/>
    <w:rsid w:val="00A71651"/>
    <w:rsid w:val="00A73354"/>
    <w:rsid w:val="00A739F1"/>
    <w:rsid w:val="00A74D88"/>
    <w:rsid w:val="00A74E24"/>
    <w:rsid w:val="00A75F65"/>
    <w:rsid w:val="00A77E58"/>
    <w:rsid w:val="00A80316"/>
    <w:rsid w:val="00A813A5"/>
    <w:rsid w:val="00A85017"/>
    <w:rsid w:val="00A856A6"/>
    <w:rsid w:val="00A862B4"/>
    <w:rsid w:val="00A86404"/>
    <w:rsid w:val="00A86AAA"/>
    <w:rsid w:val="00A87A83"/>
    <w:rsid w:val="00AA38CF"/>
    <w:rsid w:val="00AA3955"/>
    <w:rsid w:val="00AB1302"/>
    <w:rsid w:val="00AB2A51"/>
    <w:rsid w:val="00AB36B3"/>
    <w:rsid w:val="00AB756A"/>
    <w:rsid w:val="00AB796F"/>
    <w:rsid w:val="00AC1D45"/>
    <w:rsid w:val="00AE050D"/>
    <w:rsid w:val="00AE0F51"/>
    <w:rsid w:val="00AE109B"/>
    <w:rsid w:val="00AE1AD2"/>
    <w:rsid w:val="00AE4FD3"/>
    <w:rsid w:val="00AE68A0"/>
    <w:rsid w:val="00AE73A6"/>
    <w:rsid w:val="00AF1143"/>
    <w:rsid w:val="00AF3482"/>
    <w:rsid w:val="00AF4FB7"/>
    <w:rsid w:val="00AF51C5"/>
    <w:rsid w:val="00B00691"/>
    <w:rsid w:val="00B06408"/>
    <w:rsid w:val="00B07BBC"/>
    <w:rsid w:val="00B12319"/>
    <w:rsid w:val="00B139F1"/>
    <w:rsid w:val="00B14A24"/>
    <w:rsid w:val="00B14B63"/>
    <w:rsid w:val="00B16CE1"/>
    <w:rsid w:val="00B1711A"/>
    <w:rsid w:val="00B20B1A"/>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047"/>
    <w:rsid w:val="00B55B06"/>
    <w:rsid w:val="00B56A85"/>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20C7"/>
    <w:rsid w:val="00BA327C"/>
    <w:rsid w:val="00BA32EA"/>
    <w:rsid w:val="00BA4E72"/>
    <w:rsid w:val="00BA73E7"/>
    <w:rsid w:val="00BA789E"/>
    <w:rsid w:val="00BB07E2"/>
    <w:rsid w:val="00BB22EA"/>
    <w:rsid w:val="00BB3185"/>
    <w:rsid w:val="00BC5846"/>
    <w:rsid w:val="00BC5BDC"/>
    <w:rsid w:val="00BC6BD3"/>
    <w:rsid w:val="00BC79D0"/>
    <w:rsid w:val="00BD2E89"/>
    <w:rsid w:val="00BD5056"/>
    <w:rsid w:val="00BD7471"/>
    <w:rsid w:val="00BE0C5B"/>
    <w:rsid w:val="00BE0E07"/>
    <w:rsid w:val="00BE20E6"/>
    <w:rsid w:val="00BE2846"/>
    <w:rsid w:val="00BE6376"/>
    <w:rsid w:val="00BE7F4B"/>
    <w:rsid w:val="00BF0CB1"/>
    <w:rsid w:val="00BF2219"/>
    <w:rsid w:val="00BF3092"/>
    <w:rsid w:val="00BF49B0"/>
    <w:rsid w:val="00BF4A5B"/>
    <w:rsid w:val="00BF51D8"/>
    <w:rsid w:val="00BF56B8"/>
    <w:rsid w:val="00BF607F"/>
    <w:rsid w:val="00BF6285"/>
    <w:rsid w:val="00BF69E4"/>
    <w:rsid w:val="00BF6CC5"/>
    <w:rsid w:val="00BF72A2"/>
    <w:rsid w:val="00C023CE"/>
    <w:rsid w:val="00C02412"/>
    <w:rsid w:val="00C03545"/>
    <w:rsid w:val="00C035BC"/>
    <w:rsid w:val="00C0384C"/>
    <w:rsid w:val="00C04211"/>
    <w:rsid w:val="00C0507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27443"/>
    <w:rsid w:val="00C312A6"/>
    <w:rsid w:val="00C31CE2"/>
    <w:rsid w:val="00C32F44"/>
    <w:rsid w:val="00C34295"/>
    <w:rsid w:val="00C35A5B"/>
    <w:rsid w:val="00C37348"/>
    <w:rsid w:val="00C443F1"/>
    <w:rsid w:val="00C44C6C"/>
    <w:rsid w:val="00C46994"/>
    <w:rsid w:val="00C47DAD"/>
    <w:rsid w:val="00C50F37"/>
    <w:rsid w:val="00C538FA"/>
    <w:rsid w:val="00C6013A"/>
    <w:rsid w:val="00C61438"/>
    <w:rsid w:val="00C626FE"/>
    <w:rsid w:val="00C64E6D"/>
    <w:rsid w:val="00C64F1D"/>
    <w:rsid w:val="00C67022"/>
    <w:rsid w:val="00C67780"/>
    <w:rsid w:val="00C739C9"/>
    <w:rsid w:val="00C747F4"/>
    <w:rsid w:val="00C774B0"/>
    <w:rsid w:val="00C778E6"/>
    <w:rsid w:val="00C90300"/>
    <w:rsid w:val="00C91B56"/>
    <w:rsid w:val="00C942F1"/>
    <w:rsid w:val="00C944BA"/>
    <w:rsid w:val="00C94796"/>
    <w:rsid w:val="00C94EE8"/>
    <w:rsid w:val="00C970B9"/>
    <w:rsid w:val="00CA028A"/>
    <w:rsid w:val="00CA2163"/>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25A2"/>
    <w:rsid w:val="00CE2B5C"/>
    <w:rsid w:val="00CE4F0C"/>
    <w:rsid w:val="00CE57EC"/>
    <w:rsid w:val="00CF19FA"/>
    <w:rsid w:val="00CF324F"/>
    <w:rsid w:val="00D0333D"/>
    <w:rsid w:val="00D04E4B"/>
    <w:rsid w:val="00D0780D"/>
    <w:rsid w:val="00D07CD9"/>
    <w:rsid w:val="00D113C2"/>
    <w:rsid w:val="00D11AAF"/>
    <w:rsid w:val="00D1626C"/>
    <w:rsid w:val="00D219E4"/>
    <w:rsid w:val="00D21BFB"/>
    <w:rsid w:val="00D220D9"/>
    <w:rsid w:val="00D225E6"/>
    <w:rsid w:val="00D24586"/>
    <w:rsid w:val="00D2506C"/>
    <w:rsid w:val="00D2689F"/>
    <w:rsid w:val="00D30372"/>
    <w:rsid w:val="00D30AA4"/>
    <w:rsid w:val="00D30CA6"/>
    <w:rsid w:val="00D33DB0"/>
    <w:rsid w:val="00D346D0"/>
    <w:rsid w:val="00D37086"/>
    <w:rsid w:val="00D37492"/>
    <w:rsid w:val="00D4445D"/>
    <w:rsid w:val="00D44879"/>
    <w:rsid w:val="00D50B6A"/>
    <w:rsid w:val="00D51BAE"/>
    <w:rsid w:val="00D53643"/>
    <w:rsid w:val="00D60675"/>
    <w:rsid w:val="00D61020"/>
    <w:rsid w:val="00D6336E"/>
    <w:rsid w:val="00D64D1A"/>
    <w:rsid w:val="00D66BEB"/>
    <w:rsid w:val="00D7044E"/>
    <w:rsid w:val="00D70DB0"/>
    <w:rsid w:val="00D70F38"/>
    <w:rsid w:val="00D73931"/>
    <w:rsid w:val="00D7452D"/>
    <w:rsid w:val="00D762AE"/>
    <w:rsid w:val="00D84AE3"/>
    <w:rsid w:val="00D860E9"/>
    <w:rsid w:val="00D86C52"/>
    <w:rsid w:val="00D922B7"/>
    <w:rsid w:val="00D95BD2"/>
    <w:rsid w:val="00D968B2"/>
    <w:rsid w:val="00DA023E"/>
    <w:rsid w:val="00DA1242"/>
    <w:rsid w:val="00DA1DA3"/>
    <w:rsid w:val="00DA2EAD"/>
    <w:rsid w:val="00DA4E31"/>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C62"/>
    <w:rsid w:val="00E05AE6"/>
    <w:rsid w:val="00E07FD3"/>
    <w:rsid w:val="00E11442"/>
    <w:rsid w:val="00E12ADE"/>
    <w:rsid w:val="00E13D11"/>
    <w:rsid w:val="00E151B2"/>
    <w:rsid w:val="00E2087A"/>
    <w:rsid w:val="00E3141D"/>
    <w:rsid w:val="00E32EA5"/>
    <w:rsid w:val="00E353B1"/>
    <w:rsid w:val="00E35717"/>
    <w:rsid w:val="00E35A56"/>
    <w:rsid w:val="00E41A01"/>
    <w:rsid w:val="00E41C00"/>
    <w:rsid w:val="00E42BC7"/>
    <w:rsid w:val="00E43D09"/>
    <w:rsid w:val="00E45776"/>
    <w:rsid w:val="00E472C7"/>
    <w:rsid w:val="00E54718"/>
    <w:rsid w:val="00E5745D"/>
    <w:rsid w:val="00E57711"/>
    <w:rsid w:val="00E57814"/>
    <w:rsid w:val="00E600E2"/>
    <w:rsid w:val="00E604AA"/>
    <w:rsid w:val="00E61247"/>
    <w:rsid w:val="00E62AFC"/>
    <w:rsid w:val="00E64E03"/>
    <w:rsid w:val="00E672FB"/>
    <w:rsid w:val="00E70817"/>
    <w:rsid w:val="00E718B5"/>
    <w:rsid w:val="00E731A7"/>
    <w:rsid w:val="00E7565F"/>
    <w:rsid w:val="00E7746A"/>
    <w:rsid w:val="00E81AED"/>
    <w:rsid w:val="00E81BBD"/>
    <w:rsid w:val="00E833CD"/>
    <w:rsid w:val="00E85A55"/>
    <w:rsid w:val="00E87208"/>
    <w:rsid w:val="00E930D3"/>
    <w:rsid w:val="00E95A3A"/>
    <w:rsid w:val="00E96519"/>
    <w:rsid w:val="00E972F1"/>
    <w:rsid w:val="00EA251C"/>
    <w:rsid w:val="00EA72D8"/>
    <w:rsid w:val="00EB0B4D"/>
    <w:rsid w:val="00EB2DBA"/>
    <w:rsid w:val="00EB3640"/>
    <w:rsid w:val="00EB4453"/>
    <w:rsid w:val="00EB5BC4"/>
    <w:rsid w:val="00EB6F67"/>
    <w:rsid w:val="00EB6FBF"/>
    <w:rsid w:val="00EC1703"/>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682E"/>
    <w:rsid w:val="00EF01DD"/>
    <w:rsid w:val="00EF0FE7"/>
    <w:rsid w:val="00EF1A0F"/>
    <w:rsid w:val="00EF2133"/>
    <w:rsid w:val="00EF269E"/>
    <w:rsid w:val="00EF6B1E"/>
    <w:rsid w:val="00F0089C"/>
    <w:rsid w:val="00F026E9"/>
    <w:rsid w:val="00F04C34"/>
    <w:rsid w:val="00F04D38"/>
    <w:rsid w:val="00F0545E"/>
    <w:rsid w:val="00F063B6"/>
    <w:rsid w:val="00F066DF"/>
    <w:rsid w:val="00F101C3"/>
    <w:rsid w:val="00F10A86"/>
    <w:rsid w:val="00F14C20"/>
    <w:rsid w:val="00F14FA5"/>
    <w:rsid w:val="00F15CBA"/>
    <w:rsid w:val="00F15CF2"/>
    <w:rsid w:val="00F16EAB"/>
    <w:rsid w:val="00F172A0"/>
    <w:rsid w:val="00F210A4"/>
    <w:rsid w:val="00F22561"/>
    <w:rsid w:val="00F23855"/>
    <w:rsid w:val="00F263EB"/>
    <w:rsid w:val="00F26C56"/>
    <w:rsid w:val="00F302BB"/>
    <w:rsid w:val="00F302DC"/>
    <w:rsid w:val="00F3234E"/>
    <w:rsid w:val="00F366E8"/>
    <w:rsid w:val="00F4296C"/>
    <w:rsid w:val="00F4417C"/>
    <w:rsid w:val="00F46457"/>
    <w:rsid w:val="00F47CF6"/>
    <w:rsid w:val="00F50125"/>
    <w:rsid w:val="00F50684"/>
    <w:rsid w:val="00F54885"/>
    <w:rsid w:val="00F54B30"/>
    <w:rsid w:val="00F551F6"/>
    <w:rsid w:val="00F61AB0"/>
    <w:rsid w:val="00F63D96"/>
    <w:rsid w:val="00F64A18"/>
    <w:rsid w:val="00F65BA6"/>
    <w:rsid w:val="00F670DE"/>
    <w:rsid w:val="00F715B0"/>
    <w:rsid w:val="00F7530D"/>
    <w:rsid w:val="00F76C44"/>
    <w:rsid w:val="00F82372"/>
    <w:rsid w:val="00F824C0"/>
    <w:rsid w:val="00F86FBD"/>
    <w:rsid w:val="00F873C4"/>
    <w:rsid w:val="00F90F75"/>
    <w:rsid w:val="00F92CAC"/>
    <w:rsid w:val="00F942E5"/>
    <w:rsid w:val="00F97D7C"/>
    <w:rsid w:val="00F97F9E"/>
    <w:rsid w:val="00FA0425"/>
    <w:rsid w:val="00FA384F"/>
    <w:rsid w:val="00FA40C1"/>
    <w:rsid w:val="00FB195C"/>
    <w:rsid w:val="00FB3AB4"/>
    <w:rsid w:val="00FC1442"/>
    <w:rsid w:val="00FC1732"/>
    <w:rsid w:val="00FC2025"/>
    <w:rsid w:val="00FC57EA"/>
    <w:rsid w:val="00FC60A9"/>
    <w:rsid w:val="00FD0275"/>
    <w:rsid w:val="00FD478C"/>
    <w:rsid w:val="00FD55F3"/>
    <w:rsid w:val="00FD730B"/>
    <w:rsid w:val="00FD7CAD"/>
    <w:rsid w:val="00FE1697"/>
    <w:rsid w:val="00FE2EE5"/>
    <w:rsid w:val="00FE45EF"/>
    <w:rsid w:val="00FE4F6A"/>
    <w:rsid w:val="00FE5C67"/>
    <w:rsid w:val="00FE71F1"/>
    <w:rsid w:val="00FE779E"/>
    <w:rsid w:val="00FF0F19"/>
    <w:rsid w:val="00FF3198"/>
    <w:rsid w:val="00FF4286"/>
    <w:rsid w:val="00FF59DB"/>
    <w:rsid w:val="00FF71F8"/>
    <w:rsid w:val="053F198D"/>
    <w:rsid w:val="05FF1DA1"/>
    <w:rsid w:val="08191D6D"/>
    <w:rsid w:val="08772478"/>
    <w:rsid w:val="0A2572EF"/>
    <w:rsid w:val="0E601EEA"/>
    <w:rsid w:val="10A41FDB"/>
    <w:rsid w:val="12D7558D"/>
    <w:rsid w:val="1C831695"/>
    <w:rsid w:val="2BD80F46"/>
    <w:rsid w:val="2C814E9E"/>
    <w:rsid w:val="302D2F5A"/>
    <w:rsid w:val="3171651C"/>
    <w:rsid w:val="34B715BD"/>
    <w:rsid w:val="357E233F"/>
    <w:rsid w:val="38277DA9"/>
    <w:rsid w:val="38686C22"/>
    <w:rsid w:val="3BBB7324"/>
    <w:rsid w:val="400E5CED"/>
    <w:rsid w:val="4B234021"/>
    <w:rsid w:val="4EC90898"/>
    <w:rsid w:val="51A702F2"/>
    <w:rsid w:val="58FF2CBD"/>
    <w:rsid w:val="5B300615"/>
    <w:rsid w:val="6044229C"/>
    <w:rsid w:val="614D7A91"/>
    <w:rsid w:val="621C4595"/>
    <w:rsid w:val="666C2141"/>
    <w:rsid w:val="6AB75FCE"/>
    <w:rsid w:val="6C0E1111"/>
    <w:rsid w:val="6FC74C82"/>
    <w:rsid w:val="728E569A"/>
    <w:rsid w:val="730E3B0B"/>
    <w:rsid w:val="73DE5A00"/>
    <w:rsid w:val="79F96F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adjustRightInd w:val="0"/>
      <w:spacing w:before="260" w:after="260" w:line="416" w:lineRule="atLeast"/>
      <w:jc w:val="left"/>
      <w:outlineLvl w:val="1"/>
    </w:pPr>
    <w:rPr>
      <w:rFonts w:ascii="Arial" w:hAnsi="Arial" w:eastAsia="黑体"/>
      <w:b/>
      <w:bCs/>
      <w:kern w:val="0"/>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4">
    <w:name w:val="Normal Indent"/>
    <w:basedOn w:val="1"/>
    <w:link w:val="32"/>
    <w:qFormat/>
    <w:locked/>
    <w:uiPriority w:val="0"/>
    <w:pPr>
      <w:ind w:firstLine="420"/>
    </w:pPr>
    <w:rPr>
      <w:rFonts w:ascii="Calibri" w:hAnsi="Calibri"/>
    </w:rPr>
  </w:style>
  <w:style w:type="paragraph" w:styleId="5">
    <w:name w:val="annotation text"/>
    <w:basedOn w:val="1"/>
    <w:link w:val="20"/>
    <w:semiHidden/>
    <w:qFormat/>
    <w:uiPriority w:val="99"/>
    <w:pPr>
      <w:jc w:val="left"/>
    </w:pPr>
    <w:rPr>
      <w:rFonts w:ascii="Calibri" w:hAnsi="Calibri"/>
    </w:rPr>
  </w:style>
  <w:style w:type="paragraph" w:styleId="6">
    <w:name w:val="Body Text Indent"/>
    <w:basedOn w:val="1"/>
    <w:link w:val="21"/>
    <w:qFormat/>
    <w:locked/>
    <w:uiPriority w:val="0"/>
    <w:pPr>
      <w:tabs>
        <w:tab w:val="left" w:pos="900"/>
      </w:tabs>
      <w:adjustRightInd w:val="0"/>
      <w:spacing w:line="360" w:lineRule="auto"/>
      <w:ind w:firstLine="510"/>
    </w:pPr>
    <w:rPr>
      <w:rFonts w:ascii="宋体"/>
      <w:sz w:val="28"/>
    </w:rPr>
  </w:style>
  <w:style w:type="paragraph" w:styleId="7">
    <w:name w:val="Plain Text"/>
    <w:basedOn w:val="1"/>
    <w:link w:val="28"/>
    <w:qFormat/>
    <w:uiPriority w:val="0"/>
    <w:rPr>
      <w:rFonts w:ascii="宋体" w:hAnsi="Courier New"/>
      <w:kern w:val="0"/>
    </w:rPr>
  </w:style>
  <w:style w:type="paragraph" w:styleId="8">
    <w:name w:val="Date"/>
    <w:basedOn w:val="1"/>
    <w:next w:val="1"/>
    <w:link w:val="39"/>
    <w:semiHidden/>
    <w:unhideWhenUsed/>
    <w:qFormat/>
    <w:locked/>
    <w:uiPriority w:val="99"/>
    <w:pPr>
      <w:ind w:left="100" w:leftChars="2500"/>
    </w:pPr>
  </w:style>
  <w:style w:type="paragraph" w:styleId="9">
    <w:name w:val="Balloon Text"/>
    <w:basedOn w:val="1"/>
    <w:link w:val="23"/>
    <w:semiHidden/>
    <w:qFormat/>
    <w:uiPriority w:val="99"/>
    <w:rPr>
      <w:sz w:val="18"/>
    </w:rPr>
  </w:style>
  <w:style w:type="paragraph" w:styleId="10">
    <w:name w:val="footer"/>
    <w:basedOn w:val="1"/>
    <w:link w:val="24"/>
    <w:qFormat/>
    <w:uiPriority w:val="99"/>
    <w:pPr>
      <w:tabs>
        <w:tab w:val="center" w:pos="4153"/>
        <w:tab w:val="right" w:pos="8306"/>
      </w:tabs>
      <w:snapToGrid w:val="0"/>
      <w:jc w:val="left"/>
    </w:pPr>
    <w:rPr>
      <w:kern w:val="0"/>
      <w:sz w:val="18"/>
    </w:rPr>
  </w:style>
  <w:style w:type="paragraph" w:styleId="11">
    <w:name w:val="header"/>
    <w:basedOn w:val="1"/>
    <w:link w:val="25"/>
    <w:semiHidden/>
    <w:qFormat/>
    <w:uiPriority w:val="99"/>
    <w:pPr>
      <w:pBdr>
        <w:bottom w:val="single" w:color="auto" w:sz="6" w:space="1"/>
      </w:pBdr>
      <w:tabs>
        <w:tab w:val="center" w:pos="4153"/>
        <w:tab w:val="right" w:pos="8306"/>
      </w:tabs>
      <w:snapToGrid w:val="0"/>
      <w:jc w:val="center"/>
    </w:pPr>
    <w:rPr>
      <w:kern w:val="0"/>
      <w:sz w:val="18"/>
    </w:rPr>
  </w:style>
  <w:style w:type="paragraph" w:styleId="12">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13">
    <w:name w:val="annotation subject"/>
    <w:basedOn w:val="5"/>
    <w:next w:val="5"/>
    <w:link w:val="26"/>
    <w:semiHidden/>
    <w:qFormat/>
    <w:uiPriority w:val="0"/>
    <w:rPr>
      <w:rFonts w:ascii="Times New Roman" w:hAnsi="Times New Roman"/>
      <w:b/>
      <w:sz w:val="20"/>
    </w:rPr>
  </w:style>
  <w:style w:type="table" w:styleId="15">
    <w:name w:val="Table Grid"/>
    <w:basedOn w:val="14"/>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99"/>
    <w:rPr>
      <w:rFonts w:cs="Times New Roman"/>
    </w:rPr>
  </w:style>
  <w:style w:type="character" w:styleId="18">
    <w:name w:val="Hyperlink"/>
    <w:qFormat/>
    <w:locked/>
    <w:uiPriority w:val="99"/>
    <w:rPr>
      <w:rFonts w:cs="Times New Roman"/>
      <w:color w:val="0000FF"/>
      <w:u w:val="single"/>
    </w:rPr>
  </w:style>
  <w:style w:type="character" w:styleId="19">
    <w:name w:val="annotation reference"/>
    <w:semiHidden/>
    <w:qFormat/>
    <w:uiPriority w:val="0"/>
    <w:rPr>
      <w:rFonts w:cs="Times New Roman"/>
      <w:sz w:val="21"/>
    </w:rPr>
  </w:style>
  <w:style w:type="character" w:customStyle="1" w:styleId="20">
    <w:name w:val="批注文字 字符"/>
    <w:link w:val="5"/>
    <w:semiHidden/>
    <w:qFormat/>
    <w:locked/>
    <w:uiPriority w:val="99"/>
    <w:rPr>
      <w:rFonts w:eastAsia="宋体" w:cs="Times New Roman"/>
      <w:kern w:val="2"/>
      <w:sz w:val="21"/>
      <w:lang w:val="en-US" w:eastAsia="zh-CN"/>
    </w:rPr>
  </w:style>
  <w:style w:type="character" w:customStyle="1" w:styleId="21">
    <w:name w:val="正文文本缩进 字符"/>
    <w:link w:val="6"/>
    <w:semiHidden/>
    <w:qFormat/>
    <w:locked/>
    <w:uiPriority w:val="99"/>
    <w:rPr>
      <w:rFonts w:ascii="Times New Roman" w:hAnsi="Times New Roman" w:cs="Times New Roman"/>
      <w:sz w:val="20"/>
      <w:szCs w:val="20"/>
    </w:rPr>
  </w:style>
  <w:style w:type="character" w:customStyle="1" w:styleId="22">
    <w:name w:val="Plain Text Char"/>
    <w:qFormat/>
    <w:locked/>
    <w:uiPriority w:val="99"/>
    <w:rPr>
      <w:rFonts w:ascii="宋体" w:hAnsi="Courier New" w:eastAsia="宋体" w:cs="Times New Roman"/>
      <w:sz w:val="21"/>
    </w:rPr>
  </w:style>
  <w:style w:type="character" w:customStyle="1" w:styleId="23">
    <w:name w:val="批注框文本 字符"/>
    <w:link w:val="9"/>
    <w:semiHidden/>
    <w:qFormat/>
    <w:locked/>
    <w:uiPriority w:val="99"/>
    <w:rPr>
      <w:rFonts w:ascii="Times New Roman" w:hAnsi="Times New Roman" w:cs="Times New Roman"/>
      <w:kern w:val="2"/>
      <w:sz w:val="18"/>
    </w:rPr>
  </w:style>
  <w:style w:type="character" w:customStyle="1" w:styleId="24">
    <w:name w:val="页脚 字符"/>
    <w:link w:val="10"/>
    <w:qFormat/>
    <w:locked/>
    <w:uiPriority w:val="99"/>
    <w:rPr>
      <w:rFonts w:ascii="Times New Roman" w:hAnsi="Times New Roman" w:eastAsia="宋体" w:cs="Times New Roman"/>
      <w:sz w:val="18"/>
    </w:rPr>
  </w:style>
  <w:style w:type="character" w:customStyle="1" w:styleId="25">
    <w:name w:val="页眉 字符"/>
    <w:link w:val="11"/>
    <w:semiHidden/>
    <w:qFormat/>
    <w:locked/>
    <w:uiPriority w:val="99"/>
    <w:rPr>
      <w:rFonts w:ascii="Times New Roman" w:hAnsi="Times New Roman" w:eastAsia="宋体" w:cs="Times New Roman"/>
      <w:sz w:val="18"/>
    </w:rPr>
  </w:style>
  <w:style w:type="character" w:customStyle="1" w:styleId="26">
    <w:name w:val="批注主题 字符"/>
    <w:link w:val="13"/>
    <w:semiHidden/>
    <w:qFormat/>
    <w:locked/>
    <w:uiPriority w:val="0"/>
    <w:rPr>
      <w:rFonts w:ascii="Times New Roman" w:hAnsi="Times New Roman" w:eastAsia="宋体" w:cs="Times New Roman"/>
      <w:b/>
      <w:kern w:val="2"/>
      <w:sz w:val="20"/>
      <w:lang w:val="en-US" w:eastAsia="zh-CN"/>
    </w:rPr>
  </w:style>
  <w:style w:type="character" w:customStyle="1" w:styleId="27">
    <w:name w:val="Plain Text Char1"/>
    <w:semiHidden/>
    <w:qFormat/>
    <w:locked/>
    <w:uiPriority w:val="99"/>
    <w:rPr>
      <w:rFonts w:ascii="宋体" w:hAnsi="Courier New"/>
      <w:sz w:val="21"/>
    </w:rPr>
  </w:style>
  <w:style w:type="character" w:customStyle="1" w:styleId="28">
    <w:name w:val="纯文本 字符"/>
    <w:link w:val="7"/>
    <w:qFormat/>
    <w:locked/>
    <w:uiPriority w:val="0"/>
    <w:rPr>
      <w:rFonts w:ascii="宋体" w:hAnsi="Courier New" w:eastAsia="宋体"/>
      <w:sz w:val="21"/>
    </w:rPr>
  </w:style>
  <w:style w:type="paragraph" w:styleId="29">
    <w:name w:val="List Paragraph"/>
    <w:basedOn w:val="1"/>
    <w:link w:val="34"/>
    <w:qFormat/>
    <w:uiPriority w:val="34"/>
    <w:pPr>
      <w:ind w:firstLine="420" w:firstLineChars="200"/>
    </w:pPr>
  </w:style>
  <w:style w:type="character" w:customStyle="1" w:styleId="30">
    <w:name w:val="纯文本 Char"/>
    <w:qFormat/>
    <w:uiPriority w:val="99"/>
    <w:rPr>
      <w:rFonts w:ascii="宋体" w:hAnsi="Courier New" w:eastAsia="宋体"/>
      <w:kern w:val="2"/>
      <w:sz w:val="21"/>
      <w:lang w:val="en-US" w:eastAsia="zh-CN"/>
    </w:rPr>
  </w:style>
  <w:style w:type="character" w:customStyle="1" w:styleId="31">
    <w:name w:val="Char Char3"/>
    <w:qFormat/>
    <w:uiPriority w:val="99"/>
    <w:rPr>
      <w:rFonts w:ascii="宋体" w:hAnsi="Courier New" w:eastAsia="宋体"/>
      <w:kern w:val="2"/>
      <w:sz w:val="21"/>
      <w:lang w:val="en-US" w:eastAsia="zh-CN"/>
    </w:rPr>
  </w:style>
  <w:style w:type="character" w:customStyle="1" w:styleId="32">
    <w:name w:val="正文缩进 字符"/>
    <w:link w:val="4"/>
    <w:qFormat/>
    <w:locked/>
    <w:uiPriority w:val="0"/>
    <w:rPr>
      <w:kern w:val="2"/>
      <w:sz w:val="21"/>
    </w:rPr>
  </w:style>
  <w:style w:type="paragraph" w:customStyle="1" w:styleId="33">
    <w:name w:val="文档正文"/>
    <w:basedOn w:val="1"/>
    <w:qFormat/>
    <w:uiPriority w:val="0"/>
    <w:pPr>
      <w:adjustRightInd w:val="0"/>
      <w:spacing w:line="312" w:lineRule="atLeast"/>
      <w:ind w:firstLine="567"/>
      <w:textAlignment w:val="baseline"/>
    </w:pPr>
    <w:rPr>
      <w:rFonts w:ascii="长城仿宋" w:eastAsia="长城仿宋"/>
      <w:kern w:val="0"/>
      <w:sz w:val="28"/>
      <w:szCs w:val="24"/>
    </w:rPr>
  </w:style>
  <w:style w:type="character" w:customStyle="1" w:styleId="34">
    <w:name w:val="列表段落 字符"/>
    <w:link w:val="29"/>
    <w:qFormat/>
    <w:uiPriority w:val="34"/>
    <w:rPr>
      <w:kern w:val="2"/>
      <w:sz w:val="21"/>
    </w:rPr>
  </w:style>
  <w:style w:type="paragraph" w:customStyle="1" w:styleId="35">
    <w:name w:val="正文（缩进）"/>
    <w:basedOn w:val="1"/>
    <w:qFormat/>
    <w:uiPriority w:val="0"/>
    <w:pPr>
      <w:spacing w:before="156" w:after="156"/>
      <w:ind w:firstLine="480" w:firstLineChars="200"/>
    </w:pPr>
  </w:style>
  <w:style w:type="character" w:customStyle="1" w:styleId="36">
    <w:name w:val="ca-01"/>
    <w:qFormat/>
    <w:uiPriority w:val="0"/>
    <w:rPr>
      <w:rFonts w:ascii="宋体" w:hAnsi="宋体"/>
      <w:bCs/>
      <w:kern w:val="52"/>
      <w:sz w:val="24"/>
      <w:szCs w:val="21"/>
    </w:rPr>
  </w:style>
  <w:style w:type="paragraph" w:customStyle="1" w:styleId="37">
    <w:name w:val="列出段落2"/>
    <w:basedOn w:val="1"/>
    <w:qFormat/>
    <w:uiPriority w:val="99"/>
    <w:pPr>
      <w:ind w:firstLine="200" w:firstLineChars="200"/>
    </w:pPr>
    <w:rPr>
      <w:rFonts w:ascii="Calibri" w:hAnsi="Calibri"/>
      <w:szCs w:val="22"/>
    </w:rPr>
  </w:style>
  <w:style w:type="paragraph" w:customStyle="1" w:styleId="38">
    <w:name w:val="列出段落"/>
    <w:basedOn w:val="1"/>
    <w:qFormat/>
    <w:uiPriority w:val="99"/>
    <w:pPr>
      <w:ind w:firstLine="420" w:firstLineChars="200"/>
    </w:pPr>
  </w:style>
  <w:style w:type="character" w:customStyle="1" w:styleId="39">
    <w:name w:val="日期 字符"/>
    <w:basedOn w:val="16"/>
    <w:link w:val="8"/>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3B6DE-C67F-4FFF-ADA3-F990BC4B786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3806</Words>
  <Characters>21700</Characters>
  <Lines>180</Lines>
  <Paragraphs>50</Paragraphs>
  <TotalTime>199</TotalTime>
  <ScaleCrop>false</ScaleCrop>
  <LinksUpToDate>false</LinksUpToDate>
  <CharactersWithSpaces>25456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2020-10-20T02:36:00Z</dcterms:created>
  <dc:creator>fan</dc:creator>
  <cp:lastModifiedBy>王树乔</cp:lastModifiedBy>
  <cp:lastPrinted>2018-10-30T07:52:00Z</cp:lastPrinted>
  <dcterms:modified xsi:type="dcterms:W3CDTF">2020-11-04T07:01:21Z</dcterms:modified>
  <dc:title>淮阴工学院</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