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480" w:lineRule="auto"/>
        <w:jc w:val="center"/>
        <w:rPr>
          <w:rFonts w:ascii="宋体" w:hAnsi="宋体" w:cs="宋体"/>
          <w:sz w:val="24"/>
          <w:szCs w:val="24"/>
        </w:rPr>
      </w:pPr>
    </w:p>
    <w:p>
      <w:pPr>
        <w:autoSpaceDE w:val="0"/>
        <w:autoSpaceDN w:val="0"/>
        <w:spacing w:line="480" w:lineRule="auto"/>
        <w:jc w:val="center"/>
        <w:rPr>
          <w:rFonts w:ascii="宋体" w:hAnsi="宋体" w:cs="宋体"/>
          <w:sz w:val="24"/>
          <w:szCs w:val="24"/>
        </w:rPr>
      </w:pPr>
    </w:p>
    <w:p>
      <w:pPr>
        <w:widowControl w:val="0"/>
        <w:jc w:val="center"/>
        <w:rPr>
          <w:rFonts w:ascii="黑体" w:hAnsi="黑体" w:eastAsia="黑体"/>
          <w:bCs/>
          <w:snapToGrid w:val="0"/>
          <w:kern w:val="2"/>
          <w:sz w:val="52"/>
          <w:szCs w:val="52"/>
        </w:rPr>
      </w:pPr>
      <w:r>
        <w:rPr>
          <w:rFonts w:hint="eastAsia" w:ascii="黑体" w:hAnsi="黑体" w:eastAsia="黑体"/>
          <w:bCs/>
          <w:snapToGrid w:val="0"/>
          <w:kern w:val="2"/>
          <w:sz w:val="52"/>
          <w:szCs w:val="52"/>
        </w:rPr>
        <w:t>淮阴工学院</w:t>
      </w:r>
    </w:p>
    <w:p>
      <w:pPr>
        <w:widowControl w:val="0"/>
        <w:jc w:val="center"/>
        <w:rPr>
          <w:rFonts w:ascii="黑体" w:hAnsi="黑体" w:eastAsia="黑体"/>
          <w:bCs/>
          <w:snapToGrid w:val="0"/>
          <w:kern w:val="2"/>
          <w:sz w:val="52"/>
          <w:szCs w:val="52"/>
        </w:rPr>
      </w:pPr>
      <w:bookmarkStart w:id="0" w:name="_Hlk118364970"/>
      <w:r>
        <w:rPr>
          <w:rFonts w:hint="eastAsia" w:ascii="黑体" w:hAnsi="黑体" w:eastAsia="黑体"/>
          <w:bCs/>
          <w:snapToGrid w:val="0"/>
          <w:kern w:val="2"/>
          <w:sz w:val="52"/>
          <w:szCs w:val="52"/>
        </w:rPr>
        <w:t>广播级录播教室建设</w:t>
      </w:r>
    </w:p>
    <w:bookmarkEnd w:id="0"/>
    <w:p>
      <w:pPr>
        <w:widowControl w:val="0"/>
        <w:jc w:val="center"/>
        <w:rPr>
          <w:rFonts w:ascii="黑体" w:hAnsi="黑体" w:eastAsia="黑体"/>
          <w:bCs/>
          <w:snapToGrid w:val="0"/>
          <w:kern w:val="2"/>
          <w:sz w:val="52"/>
          <w:szCs w:val="52"/>
        </w:rPr>
      </w:pPr>
    </w:p>
    <w:p>
      <w:pPr>
        <w:ind w:left="-132" w:leftChars="-90" w:hanging="57" w:hangingChars="24"/>
        <w:jc w:val="center"/>
        <w:rPr>
          <w:rFonts w:ascii="宋体" w:hAnsi="宋体" w:cs="宋体"/>
          <w:b/>
          <w:snapToGrid w:val="0"/>
          <w:sz w:val="24"/>
          <w:szCs w:val="24"/>
        </w:rPr>
      </w:pPr>
    </w:p>
    <w:p>
      <w:pPr>
        <w:ind w:left="-132" w:leftChars="-90" w:hanging="57" w:hangingChars="24"/>
        <w:jc w:val="center"/>
        <w:rPr>
          <w:rFonts w:ascii="宋体" w:hAnsi="宋体" w:cs="宋体"/>
          <w:b/>
          <w:snapToGrid w:val="0"/>
          <w:sz w:val="24"/>
          <w:szCs w:val="24"/>
        </w:rPr>
      </w:pPr>
    </w:p>
    <w:p>
      <w:pPr>
        <w:ind w:left="-132" w:leftChars="-90" w:hanging="57" w:hangingChars="24"/>
        <w:jc w:val="center"/>
        <w:rPr>
          <w:rFonts w:ascii="宋体" w:hAnsi="宋体" w:cs="宋体"/>
          <w:b/>
          <w:snapToGrid w:val="0"/>
          <w:sz w:val="24"/>
          <w:szCs w:val="24"/>
        </w:rPr>
      </w:pPr>
    </w:p>
    <w:p>
      <w:pPr>
        <w:ind w:left="-132" w:leftChars="-90" w:hanging="57" w:hangingChars="24"/>
        <w:jc w:val="center"/>
        <w:rPr>
          <w:rFonts w:ascii="宋体" w:hAnsi="宋体" w:cs="宋体"/>
          <w:b/>
          <w:snapToGrid w:val="0"/>
          <w:sz w:val="24"/>
          <w:szCs w:val="24"/>
        </w:rPr>
      </w:pPr>
    </w:p>
    <w:p>
      <w:pPr>
        <w:widowControl w:val="0"/>
        <w:jc w:val="center"/>
        <w:rPr>
          <w:rFonts w:ascii="黑体" w:hAnsi="黑体" w:eastAsia="黑体"/>
          <w:b/>
          <w:snapToGrid w:val="0"/>
          <w:kern w:val="2"/>
          <w:sz w:val="84"/>
          <w:szCs w:val="84"/>
        </w:rPr>
      </w:pPr>
      <w:r>
        <w:rPr>
          <w:rFonts w:hint="eastAsia" w:ascii="黑体" w:hAnsi="黑体" w:eastAsia="黑体"/>
          <w:b/>
          <w:snapToGrid w:val="0"/>
          <w:kern w:val="2"/>
          <w:sz w:val="84"/>
          <w:szCs w:val="84"/>
        </w:rPr>
        <w:t>招标文件</w:t>
      </w:r>
    </w:p>
    <w:p>
      <w:pPr>
        <w:pStyle w:val="9"/>
        <w:adjustRightInd w:val="0"/>
        <w:snapToGrid w:val="0"/>
        <w:spacing w:line="300" w:lineRule="auto"/>
        <w:jc w:val="center"/>
        <w:rPr>
          <w:rFonts w:hAnsi="宋体" w:cs="宋体"/>
          <w:sz w:val="24"/>
          <w:szCs w:val="24"/>
        </w:rPr>
      </w:pPr>
    </w:p>
    <w:p>
      <w:pPr>
        <w:jc w:val="center"/>
        <w:rPr>
          <w:rFonts w:hint="eastAsia" w:ascii="宋体" w:hAnsi="宋体" w:eastAsia="宋体" w:cs="宋体"/>
          <w:b/>
          <w:bCs/>
          <w:sz w:val="24"/>
          <w:szCs w:val="24"/>
          <w:lang w:eastAsia="zh-CN"/>
        </w:rPr>
      </w:pPr>
      <w:r>
        <w:rPr>
          <w:rFonts w:hint="eastAsia" w:ascii="宋体" w:hAnsi="宋体" w:cs="宋体"/>
          <w:b/>
          <w:bCs/>
          <w:sz w:val="24"/>
          <w:szCs w:val="24"/>
        </w:rPr>
        <w:t>项目编号：</w:t>
      </w:r>
      <w:r>
        <w:rPr>
          <w:rFonts w:hint="eastAsia" w:ascii="宋体" w:hAnsi="宋体" w:cs="宋体"/>
          <w:b/>
          <w:bCs/>
          <w:sz w:val="24"/>
          <w:szCs w:val="24"/>
          <w:lang w:eastAsia="zh-CN"/>
        </w:rPr>
        <w:t>HGZB2024002</w:t>
      </w:r>
    </w:p>
    <w:p>
      <w:pPr>
        <w:adjustRightInd w:val="0"/>
        <w:snapToGrid w:val="0"/>
        <w:spacing w:line="300" w:lineRule="auto"/>
        <w:jc w:val="center"/>
        <w:rPr>
          <w:rFonts w:ascii="宋体" w:hAnsi="宋体" w:cs="宋体"/>
          <w:snapToGrid w:val="0"/>
          <w:sz w:val="24"/>
          <w:szCs w:val="24"/>
        </w:rPr>
      </w:pPr>
    </w:p>
    <w:p>
      <w:pPr>
        <w:adjustRightInd w:val="0"/>
        <w:snapToGrid w:val="0"/>
        <w:spacing w:line="300" w:lineRule="auto"/>
        <w:jc w:val="center"/>
        <w:rPr>
          <w:rFonts w:ascii="宋体" w:hAnsi="宋体" w:cs="宋体"/>
          <w:snapToGrid w:val="0"/>
          <w:sz w:val="24"/>
          <w:szCs w:val="24"/>
        </w:rPr>
      </w:pPr>
    </w:p>
    <w:p>
      <w:pPr>
        <w:adjustRightInd w:val="0"/>
        <w:snapToGrid w:val="0"/>
        <w:spacing w:line="300" w:lineRule="auto"/>
        <w:jc w:val="center"/>
        <w:rPr>
          <w:rFonts w:ascii="宋体" w:hAnsi="宋体" w:cs="宋体"/>
          <w:snapToGrid w:val="0"/>
          <w:sz w:val="24"/>
          <w:szCs w:val="24"/>
        </w:rPr>
      </w:pPr>
    </w:p>
    <w:p>
      <w:pPr>
        <w:adjustRightInd w:val="0"/>
        <w:snapToGrid w:val="0"/>
        <w:spacing w:line="300" w:lineRule="auto"/>
        <w:rPr>
          <w:rFonts w:ascii="宋体" w:hAnsi="宋体" w:cs="宋体"/>
          <w:snapToGrid w:val="0"/>
          <w:sz w:val="24"/>
          <w:szCs w:val="24"/>
          <w:u w:val="single"/>
        </w:rPr>
      </w:pPr>
    </w:p>
    <w:p>
      <w:pPr>
        <w:adjustRightInd w:val="0"/>
        <w:snapToGrid w:val="0"/>
        <w:spacing w:line="300" w:lineRule="auto"/>
        <w:rPr>
          <w:rFonts w:ascii="宋体" w:hAnsi="宋体" w:cs="宋体"/>
          <w:snapToGrid w:val="0"/>
          <w:sz w:val="24"/>
          <w:szCs w:val="24"/>
          <w:u w:val="single"/>
        </w:rPr>
      </w:pPr>
    </w:p>
    <w:p>
      <w:pPr>
        <w:pStyle w:val="19"/>
        <w:ind w:left="0" w:leftChars="0" w:firstLine="0" w:firstLineChars="0"/>
        <w:rPr>
          <w:rFonts w:ascii="宋体" w:hAnsi="宋体" w:eastAsia="宋体" w:cs="宋体"/>
          <w:snapToGrid w:val="0"/>
          <w:sz w:val="24"/>
          <w:szCs w:val="24"/>
          <w:u w:val="single"/>
        </w:rPr>
      </w:pPr>
    </w:p>
    <w:p>
      <w:pPr>
        <w:pStyle w:val="19"/>
        <w:ind w:left="0" w:leftChars="0" w:firstLine="0" w:firstLineChars="0"/>
        <w:rPr>
          <w:rFonts w:ascii="宋体" w:hAnsi="宋体" w:eastAsia="宋体" w:cs="宋体"/>
          <w:snapToGrid w:val="0"/>
          <w:sz w:val="24"/>
          <w:szCs w:val="24"/>
          <w:u w:val="single"/>
        </w:rPr>
      </w:pPr>
    </w:p>
    <w:p/>
    <w:p>
      <w:pPr>
        <w:pStyle w:val="2"/>
        <w:ind w:firstLine="0" w:firstLineChars="0"/>
        <w:rPr>
          <w:rFonts w:ascii="宋体" w:hAnsi="宋体" w:cs="宋体"/>
          <w:szCs w:val="24"/>
          <w:lang w:val="en-US"/>
        </w:rPr>
      </w:pPr>
    </w:p>
    <w:p>
      <w:pPr>
        <w:widowControl w:val="0"/>
        <w:ind w:right="25" w:rightChars="12"/>
        <w:jc w:val="center"/>
        <w:rPr>
          <w:rFonts w:ascii="黑体" w:hAnsi="黑体" w:eastAsia="黑体"/>
          <w:b/>
          <w:kern w:val="2"/>
          <w:sz w:val="30"/>
          <w:szCs w:val="30"/>
        </w:rPr>
      </w:pPr>
      <w:r>
        <w:rPr>
          <w:rFonts w:hint="eastAsia" w:ascii="黑体" w:hAnsi="黑体" w:eastAsia="黑体"/>
          <w:b/>
          <w:kern w:val="2"/>
          <w:sz w:val="30"/>
          <w:szCs w:val="30"/>
        </w:rPr>
        <w:t>采购代理机构：江苏立信建设工程造价咨询有限公司</w:t>
      </w:r>
    </w:p>
    <w:p>
      <w:pPr>
        <w:widowControl w:val="0"/>
        <w:ind w:right="25" w:rightChars="12"/>
        <w:jc w:val="center"/>
        <w:rPr>
          <w:rFonts w:ascii="黑体" w:hAnsi="黑体" w:eastAsia="黑体"/>
          <w:b/>
          <w:kern w:val="2"/>
          <w:sz w:val="30"/>
          <w:szCs w:val="30"/>
        </w:rPr>
      </w:pPr>
      <w:r>
        <w:rPr>
          <w:rFonts w:hint="eastAsia" w:ascii="黑体" w:hAnsi="黑体" w:eastAsia="黑体"/>
          <w:b/>
          <w:kern w:val="2"/>
          <w:sz w:val="30"/>
          <w:szCs w:val="30"/>
        </w:rPr>
        <w:t>采购人：淮阴工学院</w:t>
      </w:r>
    </w:p>
    <w:p>
      <w:pPr>
        <w:widowControl w:val="0"/>
        <w:ind w:right="25" w:rightChars="12"/>
        <w:jc w:val="center"/>
        <w:rPr>
          <w:rFonts w:ascii="黑体" w:hAnsi="黑体" w:eastAsia="黑体"/>
          <w:b/>
          <w:kern w:val="2"/>
          <w:sz w:val="30"/>
          <w:szCs w:val="30"/>
        </w:rPr>
      </w:pPr>
      <w:r>
        <w:rPr>
          <w:rFonts w:hint="eastAsia" w:ascii="黑体" w:hAnsi="黑体" w:eastAsia="黑体"/>
          <w:b/>
          <w:kern w:val="2"/>
          <w:sz w:val="30"/>
          <w:szCs w:val="30"/>
        </w:rPr>
        <w:t>2024年</w:t>
      </w:r>
      <w:r>
        <w:rPr>
          <w:rFonts w:ascii="黑体" w:hAnsi="黑体" w:eastAsia="黑体"/>
          <w:b/>
          <w:kern w:val="2"/>
          <w:sz w:val="30"/>
          <w:szCs w:val="30"/>
        </w:rPr>
        <w:t>1</w:t>
      </w:r>
      <w:r>
        <w:rPr>
          <w:rFonts w:hint="eastAsia" w:ascii="黑体" w:hAnsi="黑体" w:eastAsia="黑体"/>
          <w:b/>
          <w:kern w:val="2"/>
          <w:sz w:val="30"/>
          <w:szCs w:val="30"/>
        </w:rPr>
        <w:t>月</w:t>
      </w:r>
      <w:r>
        <w:rPr>
          <w:rFonts w:hint="eastAsia" w:ascii="黑体" w:hAnsi="黑体" w:eastAsia="黑体"/>
          <w:b/>
          <w:kern w:val="2"/>
          <w:sz w:val="30"/>
          <w:szCs w:val="30"/>
          <w:lang w:val="en-US" w:eastAsia="zh-CN"/>
        </w:rPr>
        <w:t>26</w:t>
      </w:r>
      <w:r>
        <w:rPr>
          <w:rFonts w:hint="eastAsia" w:ascii="黑体" w:hAnsi="黑体" w:eastAsia="黑体"/>
          <w:b/>
          <w:kern w:val="2"/>
          <w:sz w:val="30"/>
          <w:szCs w:val="30"/>
        </w:rPr>
        <w:t>日</w:t>
      </w:r>
    </w:p>
    <w:p>
      <w:r>
        <w:rPr>
          <w:rFonts w:hint="eastAsia" w:ascii="宋体" w:hAnsi="宋体" w:cs="宋体"/>
          <w:b/>
          <w:sz w:val="24"/>
          <w:szCs w:val="24"/>
        </w:rPr>
        <w:br w:type="page"/>
      </w:r>
    </w:p>
    <w:p>
      <w:pPr>
        <w:widowControl w:val="0"/>
        <w:jc w:val="center"/>
        <w:rPr>
          <w:b/>
          <w:kern w:val="2"/>
          <w:sz w:val="36"/>
          <w:szCs w:val="36"/>
        </w:rPr>
      </w:pPr>
      <w:r>
        <w:rPr>
          <w:rFonts w:hint="eastAsia"/>
          <w:b/>
          <w:kern w:val="2"/>
          <w:sz w:val="36"/>
          <w:szCs w:val="36"/>
        </w:rPr>
        <w:t>目 录</w:t>
      </w:r>
    </w:p>
    <w:p>
      <w:pPr>
        <w:ind w:right="2436" w:rightChars="1160"/>
        <w:jc w:val="center"/>
        <w:rPr>
          <w:rFonts w:ascii="宋体" w:hAnsi="宋体" w:cs="宋体"/>
          <w:b/>
          <w:sz w:val="24"/>
          <w:szCs w:val="24"/>
        </w:rPr>
      </w:pPr>
    </w:p>
    <w:p>
      <w:pPr>
        <w:ind w:right="2436" w:rightChars="1160"/>
        <w:jc w:val="center"/>
        <w:rPr>
          <w:rFonts w:ascii="宋体" w:hAnsi="宋体" w:cs="宋体"/>
          <w:b/>
          <w:sz w:val="24"/>
          <w:szCs w:val="24"/>
        </w:rPr>
      </w:pPr>
    </w:p>
    <w:sdt>
      <w:sdtPr>
        <w:rPr>
          <w:rFonts w:ascii="宋体" w:hAnsi="宋体"/>
        </w:rPr>
        <w:id w:val="147452597"/>
        <w15:color w:val="DBDBDB"/>
        <w:docPartObj>
          <w:docPartGallery w:val="Table of Contents"/>
          <w:docPartUnique/>
        </w:docPartObj>
      </w:sdtPr>
      <w:sdtEndPr>
        <w:rPr>
          <w:rFonts w:hint="eastAsia" w:ascii="宋体" w:hAnsi="宋体" w:cs="宋体"/>
          <w:szCs w:val="24"/>
        </w:rPr>
      </w:sdtEndPr>
      <w:sdtContent>
        <w:p/>
        <w:p>
          <w:pPr>
            <w:pStyle w:val="14"/>
            <w:tabs>
              <w:tab w:val="right" w:leader="dot" w:pos="9747"/>
            </w:tabs>
          </w:pPr>
          <w:r>
            <w:rPr>
              <w:rFonts w:hint="eastAsia" w:ascii="宋体" w:hAnsi="宋体" w:cs="宋体"/>
              <w:sz w:val="24"/>
              <w:szCs w:val="24"/>
            </w:rPr>
            <w:fldChar w:fldCharType="begin"/>
          </w:r>
          <w:r>
            <w:rPr>
              <w:rFonts w:hint="eastAsia" w:ascii="宋体" w:hAnsi="宋体" w:cs="宋体"/>
              <w:sz w:val="24"/>
              <w:szCs w:val="24"/>
            </w:rPr>
            <w:instrText xml:space="preserve">TOC \o "1-1" \h \u </w:instrText>
          </w:r>
          <w:r>
            <w:rPr>
              <w:rFonts w:hint="eastAsia" w:ascii="宋体" w:hAnsi="宋体" w:cs="宋体"/>
              <w:sz w:val="24"/>
              <w:szCs w:val="24"/>
            </w:rPr>
            <w:fldChar w:fldCharType="separate"/>
          </w:r>
          <w:r>
            <w:fldChar w:fldCharType="begin"/>
          </w:r>
          <w:r>
            <w:instrText xml:space="preserve"> HYPERLINK \l "_Toc28818" </w:instrText>
          </w:r>
          <w:r>
            <w:fldChar w:fldCharType="separate"/>
          </w:r>
          <w:r>
            <w:rPr>
              <w:rFonts w:hint="eastAsia" w:ascii="宋体" w:hAnsi="宋体" w:cs="宋体"/>
              <w:bCs/>
              <w:szCs w:val="24"/>
            </w:rPr>
            <w:t>第一章 投标须知</w:t>
          </w:r>
          <w:r>
            <w:tab/>
          </w:r>
          <w:r>
            <w:fldChar w:fldCharType="begin"/>
          </w:r>
          <w:r>
            <w:instrText xml:space="preserve"> PAGEREF _Toc28818 \h </w:instrText>
          </w:r>
          <w:r>
            <w:fldChar w:fldCharType="separate"/>
          </w:r>
          <w:r>
            <w:t>3</w:t>
          </w:r>
          <w:r>
            <w:fldChar w:fldCharType="end"/>
          </w:r>
          <w:r>
            <w:fldChar w:fldCharType="end"/>
          </w:r>
        </w:p>
        <w:p>
          <w:pPr>
            <w:pStyle w:val="14"/>
            <w:tabs>
              <w:tab w:val="right" w:leader="dot" w:pos="9747"/>
            </w:tabs>
          </w:pPr>
          <w:r>
            <w:fldChar w:fldCharType="begin"/>
          </w:r>
          <w:r>
            <w:instrText xml:space="preserve"> HYPERLINK \l "_Toc14398" </w:instrText>
          </w:r>
          <w:r>
            <w:fldChar w:fldCharType="separate"/>
          </w:r>
          <w:r>
            <w:rPr>
              <w:rFonts w:hint="eastAsia" w:ascii="宋体" w:hAnsi="宋体" w:cs="宋体"/>
              <w:bCs/>
              <w:szCs w:val="24"/>
            </w:rPr>
            <w:t>第二章 项目采购需求</w:t>
          </w:r>
          <w:r>
            <w:tab/>
          </w:r>
          <w:r>
            <w:fldChar w:fldCharType="begin"/>
          </w:r>
          <w:r>
            <w:instrText xml:space="preserve"> PAGEREF _Toc14398 \h </w:instrText>
          </w:r>
          <w:r>
            <w:fldChar w:fldCharType="separate"/>
          </w:r>
          <w:r>
            <w:t>16</w:t>
          </w:r>
          <w:r>
            <w:fldChar w:fldCharType="end"/>
          </w:r>
          <w:r>
            <w:fldChar w:fldCharType="end"/>
          </w:r>
        </w:p>
        <w:p>
          <w:pPr>
            <w:pStyle w:val="14"/>
            <w:tabs>
              <w:tab w:val="right" w:leader="dot" w:pos="9747"/>
            </w:tabs>
          </w:pPr>
          <w:r>
            <w:fldChar w:fldCharType="begin"/>
          </w:r>
          <w:r>
            <w:instrText xml:space="preserve"> HYPERLINK \l "_Toc18289" </w:instrText>
          </w:r>
          <w:r>
            <w:fldChar w:fldCharType="separate"/>
          </w:r>
          <w:r>
            <w:rPr>
              <w:rFonts w:hint="eastAsia" w:ascii="宋体" w:hAnsi="宋体" w:cs="宋体"/>
              <w:bCs/>
              <w:szCs w:val="24"/>
            </w:rPr>
            <w:t>第三章 合同主要条款</w:t>
          </w:r>
          <w:r>
            <w:tab/>
          </w:r>
          <w:r>
            <w:fldChar w:fldCharType="begin"/>
          </w:r>
          <w:r>
            <w:instrText xml:space="preserve"> PAGEREF _Toc18289 \h </w:instrText>
          </w:r>
          <w:r>
            <w:fldChar w:fldCharType="separate"/>
          </w:r>
          <w:r>
            <w:t>45</w:t>
          </w:r>
          <w:r>
            <w:fldChar w:fldCharType="end"/>
          </w:r>
          <w:r>
            <w:fldChar w:fldCharType="end"/>
          </w:r>
        </w:p>
        <w:p>
          <w:pPr>
            <w:pStyle w:val="14"/>
            <w:tabs>
              <w:tab w:val="right" w:leader="dot" w:pos="9747"/>
            </w:tabs>
          </w:pPr>
          <w:r>
            <w:fldChar w:fldCharType="begin"/>
          </w:r>
          <w:r>
            <w:instrText xml:space="preserve"> HYPERLINK \l "_Toc5478" </w:instrText>
          </w:r>
          <w:r>
            <w:fldChar w:fldCharType="separate"/>
          </w:r>
          <w:r>
            <w:rPr>
              <w:rFonts w:hint="eastAsia" w:ascii="宋体" w:hAnsi="宋体" w:cs="宋体"/>
              <w:bCs/>
              <w:szCs w:val="24"/>
            </w:rPr>
            <w:t>第四章 投标文件样式</w:t>
          </w:r>
          <w:r>
            <w:tab/>
          </w:r>
          <w:r>
            <w:fldChar w:fldCharType="begin"/>
          </w:r>
          <w:r>
            <w:instrText xml:space="preserve"> PAGEREF _Toc5478 \h </w:instrText>
          </w:r>
          <w:r>
            <w:fldChar w:fldCharType="separate"/>
          </w:r>
          <w:r>
            <w:t>48</w:t>
          </w:r>
          <w:r>
            <w:fldChar w:fldCharType="end"/>
          </w:r>
          <w:r>
            <w:fldChar w:fldCharType="end"/>
          </w:r>
        </w:p>
        <w:p>
          <w:pPr>
            <w:jc w:val="center"/>
            <w:rPr>
              <w:rFonts w:ascii="宋体" w:hAnsi="宋体" w:cs="宋体"/>
              <w:sz w:val="24"/>
              <w:szCs w:val="24"/>
            </w:rPr>
          </w:pPr>
          <w:r>
            <w:rPr>
              <w:rFonts w:hint="eastAsia" w:ascii="宋体" w:hAnsi="宋体" w:cs="宋体"/>
              <w:szCs w:val="24"/>
            </w:rPr>
            <w:fldChar w:fldCharType="end"/>
          </w:r>
        </w:p>
      </w:sdtContent>
    </w:sdt>
    <w:p>
      <w:pPr>
        <w:rPr>
          <w:rFonts w:ascii="宋体" w:hAnsi="宋体" w:cs="宋体"/>
          <w:bCs/>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br w:type="page"/>
      </w:r>
    </w:p>
    <w:p>
      <w:pPr>
        <w:numPr>
          <w:ilvl w:val="0"/>
          <w:numId w:val="1"/>
        </w:numPr>
        <w:spacing w:line="360" w:lineRule="auto"/>
        <w:jc w:val="center"/>
        <w:outlineLvl w:val="0"/>
        <w:rPr>
          <w:rFonts w:ascii="宋体" w:hAnsi="宋体" w:cs="宋体"/>
          <w:b/>
          <w:bCs/>
          <w:sz w:val="36"/>
          <w:szCs w:val="36"/>
        </w:rPr>
      </w:pPr>
      <w:bookmarkStart w:id="1" w:name="_Toc28818"/>
      <w:r>
        <w:rPr>
          <w:rFonts w:hint="eastAsia" w:ascii="宋体" w:hAnsi="宋体" w:cs="宋体"/>
          <w:b/>
          <w:bCs/>
          <w:sz w:val="36"/>
          <w:szCs w:val="36"/>
        </w:rPr>
        <w:t>投标须知</w:t>
      </w:r>
      <w:bookmarkEnd w:id="1"/>
    </w:p>
    <w:p>
      <w:pPr>
        <w:pStyle w:val="19"/>
        <w:ind w:left="0" w:leftChars="0" w:firstLine="480"/>
        <w:rPr>
          <w:rFonts w:ascii="宋体" w:hAnsi="宋体" w:eastAsia="宋体" w:cs="宋体"/>
          <w:color w:val="auto"/>
          <w:sz w:val="24"/>
          <w:szCs w:val="24"/>
        </w:rPr>
      </w:pPr>
      <w:r>
        <w:rPr>
          <w:rFonts w:hint="eastAsia" w:ascii="宋体" w:hAnsi="宋体" w:eastAsia="宋体" w:cs="宋体"/>
          <w:color w:val="auto"/>
          <w:sz w:val="24"/>
          <w:szCs w:val="24"/>
        </w:rPr>
        <w:t>受淮阴工学院的委托，江苏立信建设工程造价咨询有限公司就淮阴工学院广播级录播教室建设项目进行公开招标，现邀请符合条件的投标人参加投标。</w:t>
      </w:r>
    </w:p>
    <w:p>
      <w:pPr>
        <w:spacing w:line="360" w:lineRule="auto"/>
        <w:ind w:firstLine="480" w:firstLineChars="200"/>
        <w:outlineLvl w:val="1"/>
        <w:rPr>
          <w:rFonts w:ascii="宋体" w:hAnsi="宋体" w:cs="宋体"/>
          <w:b/>
          <w:bCs/>
          <w:sz w:val="24"/>
          <w:szCs w:val="24"/>
        </w:rPr>
      </w:pPr>
      <w:r>
        <w:rPr>
          <w:rFonts w:hint="eastAsia" w:ascii="宋体" w:hAnsi="宋体" w:cs="宋体"/>
          <w:b/>
          <w:bCs/>
          <w:sz w:val="24"/>
          <w:szCs w:val="24"/>
        </w:rPr>
        <w:t>一、招标项目</w:t>
      </w:r>
    </w:p>
    <w:p>
      <w:pPr>
        <w:spacing w:line="440" w:lineRule="exact"/>
        <w:ind w:firstLine="480" w:firstLineChars="200"/>
        <w:rPr>
          <w:rFonts w:ascii="宋体" w:hAnsi="宋体" w:cs="宋体"/>
          <w:sz w:val="24"/>
          <w:szCs w:val="24"/>
        </w:rPr>
      </w:pPr>
      <w:r>
        <w:rPr>
          <w:rFonts w:hint="eastAsia" w:ascii="宋体" w:hAnsi="宋体" w:cs="宋体"/>
          <w:sz w:val="24"/>
          <w:szCs w:val="24"/>
        </w:rPr>
        <w:t>项目名称：淮阴工学院广播级录播教室建设项目</w:t>
      </w:r>
    </w:p>
    <w:p>
      <w:pPr>
        <w:spacing w:line="360" w:lineRule="auto"/>
        <w:ind w:firstLine="480" w:firstLineChars="200"/>
        <w:rPr>
          <w:rFonts w:ascii="宋体" w:hAnsi="宋体" w:cs="宋体"/>
          <w:sz w:val="24"/>
          <w:szCs w:val="24"/>
        </w:rPr>
      </w:pPr>
      <w:r>
        <w:rPr>
          <w:rFonts w:hint="eastAsia" w:ascii="宋体" w:hAnsi="宋体" w:cs="宋体"/>
          <w:sz w:val="24"/>
          <w:szCs w:val="24"/>
        </w:rPr>
        <w:t>项目最高限价：100万</w:t>
      </w:r>
    </w:p>
    <w:p>
      <w:pPr>
        <w:spacing w:line="360" w:lineRule="auto"/>
        <w:ind w:firstLine="480" w:firstLineChars="200"/>
        <w:rPr>
          <w:rFonts w:ascii="宋体" w:hAnsi="宋体" w:cs="宋体"/>
          <w:sz w:val="24"/>
          <w:szCs w:val="24"/>
        </w:rPr>
      </w:pPr>
      <w:r>
        <w:rPr>
          <w:rFonts w:hint="eastAsia" w:ascii="宋体" w:hAnsi="宋体" w:cs="宋体"/>
          <w:sz w:val="24"/>
          <w:szCs w:val="24"/>
        </w:rPr>
        <w:t>项目简要说明：</w:t>
      </w:r>
      <w:bookmarkStart w:id="8" w:name="_GoBack"/>
      <w:r>
        <w:rPr>
          <w:rFonts w:hint="eastAsia" w:ascii="宋体" w:hAnsi="宋体" w:cs="宋体"/>
          <w:sz w:val="24"/>
          <w:szCs w:val="24"/>
        </w:rPr>
        <w:t>本项目需要完成管控中心及广播级录播教室的建设。包括两间教室的拆除和出新工作等。管控中心建设完成后能够展示校园文化及监控、管理录播教室，为此配套单人操作台、扩声系统和文化墙的建设，新增可活动桌椅能够满足24名学生同时上课及分组研讨。广播级录播教室建设完成后除提供广播级录播功能外，同时具备智慧教室相关服务，能够提供课堂跟踪录播、智慧课堂、智能分组研讨互动等功能，满足48名学生同时上课及分组研讨使用。</w:t>
      </w:r>
      <w:bookmarkEnd w:id="8"/>
    </w:p>
    <w:p>
      <w:pPr>
        <w:spacing w:line="360" w:lineRule="auto"/>
        <w:ind w:firstLine="480" w:firstLineChars="200"/>
        <w:rPr>
          <w:rFonts w:ascii="宋体" w:hAnsi="宋体" w:cs="宋体"/>
          <w:sz w:val="24"/>
          <w:szCs w:val="24"/>
        </w:rPr>
      </w:pPr>
      <w:r>
        <w:rPr>
          <w:rFonts w:hint="eastAsia" w:ascii="宋体" w:hAnsi="宋体" w:cs="宋体"/>
          <w:sz w:val="24"/>
          <w:szCs w:val="24"/>
        </w:rPr>
        <w:t>具体要求见第二章。</w:t>
      </w:r>
    </w:p>
    <w:p>
      <w:pPr>
        <w:spacing w:line="360" w:lineRule="auto"/>
        <w:ind w:firstLine="480" w:firstLineChars="200"/>
        <w:outlineLvl w:val="1"/>
        <w:rPr>
          <w:rFonts w:ascii="宋体" w:hAnsi="宋体" w:cs="宋体"/>
          <w:b/>
          <w:bCs/>
          <w:sz w:val="24"/>
          <w:szCs w:val="24"/>
        </w:rPr>
      </w:pPr>
      <w:r>
        <w:rPr>
          <w:rFonts w:hint="eastAsia" w:ascii="宋体" w:hAnsi="宋体" w:cs="宋体"/>
          <w:b/>
          <w:bCs/>
          <w:sz w:val="24"/>
          <w:szCs w:val="24"/>
        </w:rPr>
        <w:t>二、投标人的资格条件</w:t>
      </w:r>
    </w:p>
    <w:p>
      <w:pPr>
        <w:spacing w:line="440" w:lineRule="exact"/>
        <w:ind w:firstLine="480" w:firstLineChars="200"/>
        <w:rPr>
          <w:rFonts w:ascii="宋体" w:hAnsi="宋体" w:cs="宋体"/>
          <w:kern w:val="2"/>
          <w:sz w:val="24"/>
          <w:szCs w:val="24"/>
        </w:rPr>
      </w:pPr>
      <w:r>
        <w:rPr>
          <w:rFonts w:hint="eastAsia" w:ascii="宋体" w:hAnsi="宋体" w:cs="宋体"/>
          <w:kern w:val="2"/>
          <w:sz w:val="24"/>
          <w:szCs w:val="24"/>
        </w:rPr>
        <w:t>参加本次招标活动的供应商除应当符合《中华人民共和国政府采购法》第二十二条的规定外，还必须具备以下条件：</w:t>
      </w:r>
    </w:p>
    <w:p>
      <w:pPr>
        <w:spacing w:line="440" w:lineRule="exact"/>
        <w:ind w:firstLine="480" w:firstLineChars="200"/>
        <w:rPr>
          <w:rFonts w:ascii="宋体" w:hAnsi="宋体" w:cs="宋体"/>
          <w:kern w:val="2"/>
          <w:sz w:val="24"/>
          <w:szCs w:val="24"/>
        </w:rPr>
      </w:pPr>
      <w:r>
        <w:rPr>
          <w:rFonts w:hint="eastAsia" w:ascii="宋体" w:hAnsi="宋体" w:cs="宋体"/>
          <w:kern w:val="2"/>
          <w:sz w:val="24"/>
          <w:szCs w:val="24"/>
        </w:rPr>
        <w:t>1.经国家行政主管部门批准注册的企业法人；</w:t>
      </w:r>
    </w:p>
    <w:p>
      <w:pPr>
        <w:spacing w:line="440" w:lineRule="exact"/>
        <w:ind w:firstLine="480" w:firstLineChars="200"/>
        <w:rPr>
          <w:rFonts w:ascii="宋体" w:hAnsi="宋体" w:cs="宋体"/>
          <w:kern w:val="2"/>
          <w:sz w:val="24"/>
          <w:szCs w:val="24"/>
        </w:rPr>
      </w:pPr>
      <w:r>
        <w:rPr>
          <w:rFonts w:hint="eastAsia" w:ascii="宋体" w:hAnsi="宋体" w:cs="宋体"/>
          <w:kern w:val="2"/>
          <w:sz w:val="24"/>
          <w:szCs w:val="24"/>
        </w:rPr>
        <w:t>2.具有良好的经营行为和经营业绩，近三年在招投标活动中无不良记录；</w:t>
      </w:r>
    </w:p>
    <w:p>
      <w:pPr>
        <w:spacing w:line="440" w:lineRule="exact"/>
        <w:ind w:firstLine="480" w:firstLineChars="200"/>
        <w:rPr>
          <w:rFonts w:ascii="宋体" w:hAnsi="宋体" w:cs="宋体"/>
          <w:kern w:val="2"/>
          <w:sz w:val="24"/>
          <w:szCs w:val="24"/>
        </w:rPr>
      </w:pPr>
      <w:r>
        <w:rPr>
          <w:rFonts w:hint="eastAsia" w:ascii="宋体" w:hAnsi="宋体" w:cs="宋体"/>
          <w:kern w:val="2"/>
          <w:sz w:val="24"/>
          <w:szCs w:val="24"/>
        </w:rPr>
        <w:t>3.具备履行合同所必需的设备和专业技术能力；</w:t>
      </w:r>
    </w:p>
    <w:p>
      <w:pPr>
        <w:spacing w:line="440" w:lineRule="exact"/>
        <w:ind w:firstLine="480" w:firstLineChars="200"/>
        <w:rPr>
          <w:rFonts w:ascii="宋体" w:hAnsi="宋体" w:cs="宋体"/>
          <w:kern w:val="2"/>
          <w:sz w:val="24"/>
          <w:szCs w:val="24"/>
        </w:rPr>
      </w:pPr>
      <w:r>
        <w:rPr>
          <w:rFonts w:hint="eastAsia" w:ascii="宋体" w:hAnsi="宋体" w:cs="宋体"/>
          <w:kern w:val="2"/>
          <w:sz w:val="24"/>
          <w:szCs w:val="24"/>
        </w:rPr>
        <w:t>4.本次招标不接受联合体供应商参加投标；不得转包分包。</w:t>
      </w:r>
    </w:p>
    <w:p>
      <w:pPr>
        <w:spacing w:line="440" w:lineRule="exact"/>
        <w:ind w:firstLine="480" w:firstLineChars="200"/>
        <w:rPr>
          <w:rFonts w:ascii="宋体" w:hAnsi="宋体" w:cs="宋体"/>
          <w:kern w:val="2"/>
          <w:sz w:val="24"/>
          <w:szCs w:val="24"/>
        </w:rPr>
      </w:pPr>
      <w:r>
        <w:rPr>
          <w:rFonts w:hint="eastAsia" w:ascii="宋体" w:hAnsi="宋体" w:cs="宋体"/>
          <w:kern w:val="2"/>
          <w:sz w:val="24"/>
          <w:szCs w:val="24"/>
        </w:rPr>
        <w:t>5.本次采购接受进口产品投标：否</w:t>
      </w:r>
    </w:p>
    <w:p>
      <w:pPr>
        <w:spacing w:line="440" w:lineRule="exact"/>
        <w:ind w:firstLine="480" w:firstLineChars="200"/>
        <w:rPr>
          <w:rFonts w:ascii="宋体" w:hAnsi="宋体" w:cs="宋体"/>
          <w:kern w:val="2"/>
          <w:sz w:val="24"/>
          <w:szCs w:val="24"/>
        </w:rPr>
      </w:pPr>
      <w:r>
        <w:rPr>
          <w:rFonts w:hint="eastAsia" w:ascii="宋体" w:hAnsi="宋体" w:cs="宋体"/>
          <w:kern w:val="2"/>
          <w:sz w:val="24"/>
          <w:szCs w:val="24"/>
        </w:rPr>
        <w:t>6.拒绝下述条件的供应商参加本次采购活动：</w:t>
      </w:r>
    </w:p>
    <w:p>
      <w:pPr>
        <w:spacing w:line="440" w:lineRule="exact"/>
        <w:ind w:firstLine="480" w:firstLineChars="200"/>
        <w:rPr>
          <w:rFonts w:ascii="宋体" w:hAnsi="宋体" w:cs="宋体"/>
          <w:kern w:val="2"/>
          <w:sz w:val="24"/>
          <w:szCs w:val="24"/>
        </w:rPr>
      </w:pPr>
      <w:r>
        <w:rPr>
          <w:rFonts w:hint="eastAsia" w:ascii="宋体" w:hAnsi="宋体" w:cs="宋体"/>
          <w:kern w:val="2"/>
          <w:sz w:val="24"/>
          <w:szCs w:val="24"/>
        </w:rPr>
        <w:t>6.1供应商单位负责人为同一人或者存在直接控股、管理关系的不同供应商，不得同时参加同一合同项下的政府采购活动。</w:t>
      </w:r>
    </w:p>
    <w:p>
      <w:pPr>
        <w:spacing w:line="440" w:lineRule="exact"/>
        <w:ind w:firstLine="480" w:firstLineChars="200"/>
        <w:rPr>
          <w:rFonts w:ascii="宋体" w:hAnsi="宋体" w:cs="宋体"/>
          <w:kern w:val="2"/>
          <w:sz w:val="24"/>
          <w:szCs w:val="24"/>
        </w:rPr>
      </w:pPr>
      <w:r>
        <w:rPr>
          <w:rFonts w:hint="eastAsia" w:ascii="宋体" w:hAnsi="宋体" w:cs="宋体"/>
          <w:kern w:val="2"/>
          <w:sz w:val="24"/>
          <w:szCs w:val="24"/>
        </w:rPr>
        <w:t>6.2凡为采购项目提供整体设计、规范编制或者项目管理、监理、检测等服务的供应商，不得再参加本项目的采购活动。</w:t>
      </w:r>
    </w:p>
    <w:p>
      <w:pPr>
        <w:spacing w:line="440" w:lineRule="exact"/>
        <w:ind w:firstLine="480" w:firstLineChars="200"/>
        <w:rPr>
          <w:rFonts w:ascii="宋体" w:hAnsi="宋体" w:cs="宋体"/>
          <w:spacing w:val="15"/>
          <w:sz w:val="24"/>
          <w:szCs w:val="24"/>
        </w:rPr>
      </w:pPr>
      <w:r>
        <w:rPr>
          <w:rFonts w:hint="eastAsia" w:ascii="宋体" w:hAnsi="宋体" w:cs="宋体"/>
          <w:kern w:val="2"/>
          <w:sz w:val="24"/>
          <w:szCs w:val="24"/>
        </w:rPr>
        <w:t>6.3</w:t>
      </w:r>
      <w:r>
        <w:rPr>
          <w:rFonts w:hint="eastAsia" w:ascii="宋体" w:hAnsi="宋体" w:cs="宋体"/>
          <w:spacing w:val="15"/>
          <w:sz w:val="24"/>
          <w:szCs w:val="24"/>
        </w:rPr>
        <w:t>近三年内（本项目招标截止期前）投标人被“信用中国”网站（</w:t>
      </w:r>
      <w:r>
        <w:fldChar w:fldCharType="begin"/>
      </w:r>
      <w:r>
        <w:instrText xml:space="preserve"> HYPERLINK "http://www.creditchina.gov.cn" </w:instrText>
      </w:r>
      <w:r>
        <w:fldChar w:fldCharType="separate"/>
      </w:r>
      <w:r>
        <w:rPr>
          <w:kern w:val="2"/>
          <w:sz w:val="24"/>
          <w:szCs w:val="24"/>
        </w:rPr>
        <w:t>www.creditchina.gov.cn</w:t>
      </w:r>
      <w:r>
        <w:rPr>
          <w:kern w:val="2"/>
          <w:sz w:val="24"/>
          <w:szCs w:val="24"/>
        </w:rPr>
        <w:fldChar w:fldCharType="end"/>
      </w:r>
      <w:r>
        <w:rPr>
          <w:rFonts w:hint="eastAsia" w:ascii="宋体" w:hAnsi="宋体" w:cs="宋体"/>
          <w:spacing w:val="15"/>
          <w:sz w:val="24"/>
          <w:szCs w:val="24"/>
        </w:rPr>
        <w:t>）列入失信被执行人和重大税收违法失信主体名单的、被“中国政府采购网”网站（</w:t>
      </w:r>
      <w:r>
        <w:fldChar w:fldCharType="begin"/>
      </w:r>
      <w:r>
        <w:instrText xml:space="preserve"> HYPERLINK "http://www.ccgp.gov.cn" </w:instrText>
      </w:r>
      <w:r>
        <w:fldChar w:fldCharType="separate"/>
      </w:r>
      <w:r>
        <w:rPr>
          <w:kern w:val="2"/>
          <w:sz w:val="24"/>
          <w:szCs w:val="24"/>
        </w:rPr>
        <w:t>www.ccgp.gov.cn</w:t>
      </w:r>
      <w:r>
        <w:rPr>
          <w:kern w:val="2"/>
          <w:sz w:val="24"/>
          <w:szCs w:val="24"/>
        </w:rPr>
        <w:fldChar w:fldCharType="end"/>
      </w:r>
      <w:r>
        <w:rPr>
          <w:rFonts w:hint="eastAsia" w:ascii="宋体" w:hAnsi="宋体" w:cs="宋体"/>
          <w:spacing w:val="15"/>
          <w:sz w:val="24"/>
          <w:szCs w:val="24"/>
        </w:rPr>
        <w:t>）列入政府采购严重违法失信行为记录名单（处罚期限尚未届满的），不得参与本项目。</w:t>
      </w:r>
    </w:p>
    <w:p>
      <w:pPr>
        <w:spacing w:line="520" w:lineRule="exact"/>
        <w:ind w:firstLine="480" w:firstLineChars="200"/>
        <w:rPr>
          <w:rFonts w:ascii="宋体" w:hAnsi="宋体" w:cs="宋体"/>
          <w:sz w:val="24"/>
          <w:szCs w:val="24"/>
        </w:rPr>
      </w:pPr>
      <w:r>
        <w:rPr>
          <w:rFonts w:hint="eastAsia" w:ascii="宋体" w:hAnsi="宋体" w:cs="宋体"/>
          <w:sz w:val="24"/>
          <w:szCs w:val="24"/>
        </w:rPr>
        <w:t>7.落实政府采购政策需满足的资格要求：</w:t>
      </w:r>
    </w:p>
    <w:p>
      <w:pPr>
        <w:spacing w:line="520" w:lineRule="exact"/>
        <w:ind w:firstLine="480" w:firstLineChars="200"/>
        <w:rPr>
          <w:rFonts w:ascii="宋体" w:hAnsi="宋体" w:cs="宋体"/>
          <w:sz w:val="24"/>
          <w:szCs w:val="24"/>
        </w:rPr>
      </w:pPr>
      <w:r>
        <w:rPr>
          <w:rFonts w:hint="eastAsia" w:ascii="宋体" w:hAnsi="宋体" w:cs="宋体"/>
          <w:sz w:val="24"/>
          <w:szCs w:val="24"/>
        </w:rPr>
        <w:t>本项目为专门面向中小企业采购的项目。</w:t>
      </w:r>
    </w:p>
    <w:p>
      <w:pPr>
        <w:spacing w:line="360" w:lineRule="auto"/>
        <w:ind w:firstLine="480" w:firstLineChars="200"/>
        <w:outlineLvl w:val="1"/>
        <w:rPr>
          <w:rFonts w:ascii="宋体" w:hAnsi="宋体" w:cs="宋体"/>
          <w:b/>
          <w:bCs/>
          <w:sz w:val="24"/>
          <w:szCs w:val="24"/>
        </w:rPr>
      </w:pPr>
      <w:r>
        <w:rPr>
          <w:rFonts w:hint="eastAsia" w:ascii="宋体" w:hAnsi="宋体" w:cs="宋体"/>
          <w:b/>
          <w:bCs/>
          <w:sz w:val="24"/>
          <w:szCs w:val="24"/>
        </w:rPr>
        <w:t>三、投标人资格审查方式</w:t>
      </w:r>
    </w:p>
    <w:p>
      <w:pPr>
        <w:widowControl w:val="0"/>
        <w:spacing w:line="440" w:lineRule="exact"/>
        <w:ind w:firstLine="488" w:firstLineChars="200"/>
        <w:rPr>
          <w:rFonts w:ascii="宋体" w:hAnsi="宋体" w:cs="宋体"/>
          <w:spacing w:val="2"/>
          <w:sz w:val="24"/>
          <w:szCs w:val="24"/>
        </w:rPr>
      </w:pPr>
      <w:r>
        <w:rPr>
          <w:rFonts w:hint="eastAsia" w:ascii="宋体" w:hAnsi="宋体" w:cs="宋体"/>
          <w:spacing w:val="2"/>
          <w:sz w:val="24"/>
          <w:szCs w:val="24"/>
        </w:rPr>
        <w:t>资格后审，开标时进行投标资格审核。若中标后发现资格不符合要求，则取消中标资格，涉嫌提供虚假材料的将处以取消中标资格并列入学校采购不诚信企业名单，两年内不得参与学校所有采购项目。</w:t>
      </w:r>
    </w:p>
    <w:p>
      <w:pPr>
        <w:spacing w:line="360" w:lineRule="auto"/>
        <w:ind w:firstLine="480" w:firstLineChars="200"/>
        <w:outlineLvl w:val="1"/>
        <w:rPr>
          <w:rFonts w:ascii="宋体" w:hAnsi="宋体" w:cs="宋体"/>
          <w:b/>
          <w:bCs/>
          <w:sz w:val="24"/>
          <w:szCs w:val="24"/>
        </w:rPr>
      </w:pPr>
      <w:r>
        <w:rPr>
          <w:rFonts w:hint="eastAsia" w:ascii="宋体" w:hAnsi="宋体" w:cs="宋体"/>
          <w:b/>
          <w:bCs/>
          <w:sz w:val="24"/>
          <w:szCs w:val="24"/>
        </w:rPr>
        <w:t>四、招标文件</w:t>
      </w:r>
    </w:p>
    <w:p>
      <w:pPr>
        <w:spacing w:line="520" w:lineRule="exact"/>
        <w:ind w:firstLine="480" w:firstLineChars="200"/>
        <w:rPr>
          <w:rFonts w:ascii="宋体" w:hAnsi="宋体" w:cs="宋体"/>
          <w:color w:val="000000"/>
          <w:sz w:val="24"/>
          <w:szCs w:val="24"/>
        </w:rPr>
      </w:pPr>
      <w:r>
        <w:rPr>
          <w:rFonts w:hint="eastAsia" w:ascii="宋体" w:hAnsi="宋体" w:cs="宋体"/>
          <w:color w:val="000000"/>
          <w:sz w:val="24"/>
          <w:szCs w:val="24"/>
        </w:rPr>
        <w:t>1.招标文件发布</w:t>
      </w:r>
    </w:p>
    <w:p>
      <w:pPr>
        <w:spacing w:line="440" w:lineRule="exact"/>
        <w:ind w:firstLine="480" w:firstLineChars="200"/>
        <w:rPr>
          <w:rFonts w:ascii="宋体" w:hAnsi="宋体" w:cs="宋体"/>
          <w:kern w:val="2"/>
          <w:sz w:val="24"/>
          <w:szCs w:val="24"/>
        </w:rPr>
      </w:pPr>
      <w:r>
        <w:rPr>
          <w:rFonts w:hint="eastAsia" w:ascii="宋体" w:hAnsi="宋体" w:cs="宋体"/>
          <w:kern w:val="2"/>
          <w:sz w:val="24"/>
          <w:szCs w:val="24"/>
        </w:rPr>
        <w:t>招标文件在中国政府采购网（http://www.ccgp.gov.cn/）、淮阴工学院网站及其招投标网站（http://www.hyit.edu.cn/index/tzgg.htm/）发布,投标人无需提前现场报名，可直接在网站下载招标文件电子文档。招标文件资料费为300元，到江苏立信建设工程造价咨询有限公司财务处交纳该费用（江苏省淮安软件园10号楼2楼）交纳该费用，交后一律不退，资料费需在报名截止时间之前缴纳.如果投标人确认参与本项目投标，请如实填写“供应商参与投标确认函”(格式见第四章)，并发送电子扫描件回复(文件命名为“项目编号+投标单位名称”)(采购代理机构电子邮箱：384344099@qq.com)。</w:t>
      </w:r>
    </w:p>
    <w:p>
      <w:pPr>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注:如果投标人因考虑自身投标保密原因而未填写或未如实填写“供应商参与投标确认函”或填写信息有误，导致江苏立信建设工程造价咨询有限公司因没有收到确认函或因供应商所留联系方式有误而无法通知到投标人有关招标文件在公示期间相关变更或修改信息的，其责任由投标人自行承担。</w:t>
      </w:r>
    </w:p>
    <w:p>
      <w:pPr>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2.招标文件澄清</w:t>
      </w:r>
    </w:p>
    <w:p>
      <w:pPr>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任何要求对招标文件进行澄清的投标人，均应在投标截止时间十日前以书面形式通知采购代理机构（联系人：魏工，联系电话：17314155563，联系地址：江苏省淮安软件园10号楼2楼；在递送书面文件的同时请投标人将电子文档发送至采购人电子邮箱384344099@qq.com），采购代理机构对投标截止时间前十日收到的任何澄清要求将以书面、传真或电子邮件形式予以答复。由于投标人所留联系方式有问题而导致采购代理机构无法通知的，其责任由投标人自行承担（逾期递交对招标文件要求进行澄清的，采购代理机构将不予受理）。</w:t>
      </w:r>
    </w:p>
    <w:p>
      <w:pPr>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3.招标文件变更</w:t>
      </w:r>
    </w:p>
    <w:p>
      <w:pPr>
        <w:spacing w:line="440" w:lineRule="exact"/>
        <w:ind w:firstLine="480" w:firstLineChars="200"/>
        <w:rPr>
          <w:rFonts w:ascii="宋体" w:hAnsi="宋体" w:cs="宋体"/>
          <w:color w:val="000000"/>
          <w:sz w:val="24"/>
          <w:szCs w:val="24"/>
        </w:rPr>
      </w:pPr>
      <w:r>
        <w:rPr>
          <w:rFonts w:hint="eastAsia" w:ascii="宋体" w:hAnsi="宋体" w:cs="宋体"/>
          <w:sz w:val="24"/>
          <w:szCs w:val="24"/>
        </w:rPr>
        <w:t>在投标截止时间十五日前，采购代理机构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代理机构有权按照相关法定的要求推迟投标截止时间和开标日期。</w:t>
      </w:r>
    </w:p>
    <w:p>
      <w:pPr>
        <w:spacing w:line="360" w:lineRule="auto"/>
        <w:ind w:firstLine="480" w:firstLineChars="200"/>
        <w:outlineLvl w:val="1"/>
        <w:rPr>
          <w:b/>
          <w:bCs/>
          <w:sz w:val="24"/>
          <w:szCs w:val="24"/>
        </w:rPr>
      </w:pPr>
      <w:r>
        <w:rPr>
          <w:rFonts w:hint="eastAsia"/>
          <w:b/>
          <w:bCs/>
          <w:sz w:val="24"/>
          <w:szCs w:val="24"/>
        </w:rPr>
        <w:t>五、投标文件组成</w:t>
      </w:r>
    </w:p>
    <w:p>
      <w:pPr>
        <w:spacing w:line="360" w:lineRule="auto"/>
        <w:ind w:firstLine="480" w:firstLineChars="200"/>
        <w:rPr>
          <w:rFonts w:ascii="宋体" w:hAnsi="宋体" w:cs="宋体"/>
          <w:sz w:val="24"/>
          <w:szCs w:val="24"/>
        </w:rPr>
      </w:pPr>
      <w:r>
        <w:rPr>
          <w:rFonts w:hint="eastAsia" w:ascii="宋体" w:hAnsi="宋体" w:cs="宋体"/>
          <w:sz w:val="24"/>
          <w:szCs w:val="24"/>
        </w:rPr>
        <w:t>1.投标函（格式见第四章）。</w:t>
      </w:r>
    </w:p>
    <w:p>
      <w:pPr>
        <w:shd w:val="clear" w:color="auto" w:fill="FFFFFF"/>
        <w:spacing w:line="440" w:lineRule="exact"/>
        <w:ind w:firstLine="440"/>
        <w:rPr>
          <w:rFonts w:ascii="宋体" w:hAnsi="宋体" w:cs="宋体"/>
          <w:sz w:val="24"/>
          <w:szCs w:val="24"/>
        </w:rPr>
      </w:pPr>
      <w:r>
        <w:rPr>
          <w:rFonts w:hint="eastAsia" w:ascii="宋体" w:hAnsi="宋体" w:cs="宋体"/>
          <w:sz w:val="24"/>
          <w:szCs w:val="24"/>
        </w:rPr>
        <w:t>2.投标报价表（格式见第四章）：投标人应在投标文件报价表中写明投标货物的单价和总价，投标报价应包括货物的设计、制造、包装、仓储、运输装缷（运送到学校指定地点）、保险、支付给员工的工资和国家强制缴纳的各种社会保障资金、税费，以及与本项目有关的所有费用。投标人的任何错漏、优惠、竞争性报价不得作为减轻责任、减少服务、增加收费、降低质量的理由。采购人不接受备选的投标方案或有选择的报价。</w:t>
      </w:r>
    </w:p>
    <w:p>
      <w:pPr>
        <w:shd w:val="clear" w:color="auto" w:fill="FFFFFF"/>
        <w:spacing w:line="440" w:lineRule="exact"/>
        <w:ind w:firstLine="440"/>
        <w:rPr>
          <w:rFonts w:ascii="宋体" w:hAnsi="宋体" w:cs="宋体"/>
          <w:sz w:val="24"/>
          <w:szCs w:val="24"/>
        </w:rPr>
      </w:pPr>
      <w:r>
        <w:rPr>
          <w:rFonts w:hint="eastAsia" w:ascii="宋体" w:hAnsi="宋体" w:cs="宋体"/>
          <w:sz w:val="24"/>
          <w:szCs w:val="24"/>
        </w:rPr>
        <w:t>3.资质证明材料</w:t>
      </w:r>
    </w:p>
    <w:p>
      <w:pPr>
        <w:shd w:val="clear" w:color="auto" w:fill="FFFFFF"/>
        <w:spacing w:line="440" w:lineRule="exact"/>
        <w:ind w:firstLine="440"/>
        <w:rPr>
          <w:rFonts w:ascii="宋体" w:hAnsi="宋体" w:cs="宋体"/>
          <w:sz w:val="24"/>
          <w:szCs w:val="24"/>
        </w:rPr>
      </w:pPr>
      <w:r>
        <w:rPr>
          <w:rFonts w:hint="eastAsia" w:ascii="宋体" w:hAnsi="宋体" w:cs="宋体"/>
          <w:sz w:val="24"/>
          <w:szCs w:val="24"/>
        </w:rPr>
        <w:t>3.1法定代表人投标，提供法定代表人资格证明（原件，格式见第四章）和法定代表人身份证（复印件并加盖投标人公章）；授权委托人投标，提供法定代表人授权委托书（原件，格式见第四章）、法定代表人身份证（复印件并加盖投标人公章）和授权委托人身份证（复印件并加盖投标人公章，原件带至投标现场备查）。</w:t>
      </w:r>
    </w:p>
    <w:p>
      <w:pPr>
        <w:shd w:val="clear" w:color="auto" w:fill="FFFFFF"/>
        <w:spacing w:line="440" w:lineRule="exact"/>
        <w:ind w:firstLine="440"/>
        <w:rPr>
          <w:rFonts w:ascii="宋体" w:hAnsi="宋体" w:cs="宋体"/>
          <w:sz w:val="24"/>
          <w:szCs w:val="24"/>
        </w:rPr>
      </w:pPr>
      <w:r>
        <w:rPr>
          <w:rFonts w:hint="eastAsia" w:ascii="宋体" w:hAnsi="宋体" w:cs="宋体"/>
          <w:sz w:val="24"/>
          <w:szCs w:val="24"/>
        </w:rPr>
        <w:t>3.2营业执照（复印件并加盖投标人公章）。</w:t>
      </w:r>
    </w:p>
    <w:p>
      <w:pPr>
        <w:spacing w:line="440" w:lineRule="exact"/>
        <w:ind w:firstLine="470" w:firstLineChars="196"/>
        <w:rPr>
          <w:rFonts w:ascii="宋体" w:hAnsi="宋体" w:cs="宋体"/>
          <w:sz w:val="24"/>
          <w:szCs w:val="24"/>
        </w:rPr>
      </w:pPr>
      <w:r>
        <w:rPr>
          <w:rFonts w:hint="eastAsia" w:ascii="宋体" w:hAnsi="宋体" w:cs="宋体"/>
          <w:sz w:val="24"/>
          <w:szCs w:val="24"/>
        </w:rPr>
        <w:t>3.3提供“符合《中华人民共和国政府采购法》第二十二条的规定”、“具有良好的经营行为和经营业绩，近三年在招投标活动中无不良记录”、“具备履行合同所必需的设备和专业技术能力”、“供应商单位负责人不是同一人或者存在直接控股、管理关系的不同供应商”、</w:t>
      </w:r>
      <w:r>
        <w:rPr>
          <w:rFonts w:hint="eastAsia" w:ascii="宋体" w:hAnsi="宋体" w:cs="宋体"/>
          <w:kern w:val="2"/>
          <w:sz w:val="24"/>
          <w:szCs w:val="24"/>
        </w:rPr>
        <w:t>“不是采购项目提供整体设计、规范编制或者项目管理、监理、检测等服务的供应商”、</w:t>
      </w:r>
      <w:r>
        <w:rPr>
          <w:rFonts w:hint="eastAsia" w:ascii="宋体" w:hAnsi="宋体" w:cs="宋体"/>
          <w:sz w:val="24"/>
          <w:szCs w:val="24"/>
        </w:rPr>
        <w:t>“</w:t>
      </w:r>
      <w:r>
        <w:rPr>
          <w:rFonts w:hint="eastAsia" w:ascii="宋体" w:hAnsi="宋体" w:cs="宋体"/>
          <w:kern w:val="2"/>
          <w:sz w:val="24"/>
          <w:szCs w:val="24"/>
        </w:rPr>
        <w:t>近三年内（本项目招标截止期前）投标人未被“信用中国”网站（</w:t>
      </w:r>
      <w:r>
        <w:rPr>
          <w:rFonts w:hint="eastAsia"/>
        </w:rPr>
        <w:fldChar w:fldCharType="begin"/>
      </w:r>
      <w:r>
        <w:instrText xml:space="preserve"> HYPERLINK "http://www.creditchina.gov.cn" </w:instrText>
      </w:r>
      <w:r>
        <w:rPr>
          <w:rFonts w:hint="eastAsia"/>
        </w:rPr>
        <w:fldChar w:fldCharType="separate"/>
      </w:r>
      <w:r>
        <w:rPr>
          <w:rFonts w:hint="eastAsia" w:ascii="宋体" w:hAnsi="宋体" w:cs="宋体"/>
          <w:kern w:val="2"/>
          <w:sz w:val="24"/>
          <w:szCs w:val="24"/>
        </w:rPr>
        <w:t>www.creditchina.gov.cn</w:t>
      </w:r>
      <w:r>
        <w:rPr>
          <w:rFonts w:hint="eastAsia" w:ascii="宋体" w:hAnsi="宋体" w:cs="宋体"/>
          <w:kern w:val="2"/>
          <w:sz w:val="24"/>
          <w:szCs w:val="24"/>
        </w:rPr>
        <w:fldChar w:fldCharType="end"/>
      </w:r>
      <w:r>
        <w:rPr>
          <w:rFonts w:hint="eastAsia" w:ascii="宋体" w:hAnsi="宋体" w:cs="宋体"/>
          <w:kern w:val="2"/>
          <w:sz w:val="24"/>
          <w:szCs w:val="24"/>
        </w:rPr>
        <w:t>）列入失信被执行人和重大税收违法失信主体名单、未被“中国政府采购网”网站（</w:t>
      </w:r>
      <w:r>
        <w:rPr>
          <w:rFonts w:hint="eastAsia"/>
        </w:rPr>
        <w:fldChar w:fldCharType="begin"/>
      </w:r>
      <w:r>
        <w:instrText xml:space="preserve"> HYPERLINK "http://www.ccgp.gov.cn" </w:instrText>
      </w:r>
      <w:r>
        <w:rPr>
          <w:rFonts w:hint="eastAsia"/>
        </w:rPr>
        <w:fldChar w:fldCharType="separate"/>
      </w:r>
      <w:r>
        <w:rPr>
          <w:rFonts w:hint="eastAsia" w:ascii="宋体" w:hAnsi="宋体" w:cs="宋体"/>
          <w:kern w:val="2"/>
          <w:sz w:val="24"/>
          <w:szCs w:val="24"/>
        </w:rPr>
        <w:t>www.ccgp.gov.cn</w:t>
      </w:r>
      <w:r>
        <w:rPr>
          <w:rFonts w:hint="eastAsia" w:ascii="宋体" w:hAnsi="宋体" w:cs="宋体"/>
          <w:kern w:val="2"/>
          <w:sz w:val="24"/>
          <w:szCs w:val="24"/>
        </w:rPr>
        <w:fldChar w:fldCharType="end"/>
      </w:r>
      <w:r>
        <w:rPr>
          <w:rFonts w:hint="eastAsia" w:ascii="宋体" w:hAnsi="宋体" w:cs="宋体"/>
          <w:kern w:val="2"/>
          <w:sz w:val="24"/>
          <w:szCs w:val="24"/>
        </w:rPr>
        <w:t>）列入政府采购严重违法失信行为记录名单（处罚期限尚未届满的），”的承诺书（格式见第四章，加盖投标人公章）</w:t>
      </w:r>
      <w:r>
        <w:rPr>
          <w:rFonts w:hint="eastAsia" w:ascii="宋体" w:hAnsi="宋体" w:cs="宋体"/>
          <w:sz w:val="24"/>
          <w:szCs w:val="24"/>
        </w:rPr>
        <w:t>。</w:t>
      </w:r>
    </w:p>
    <w:p>
      <w:pPr>
        <w:spacing w:line="440" w:lineRule="exact"/>
        <w:ind w:firstLine="470" w:firstLineChars="196"/>
        <w:rPr>
          <w:rFonts w:ascii="宋体" w:hAnsi="宋体" w:cs="宋体"/>
          <w:sz w:val="24"/>
          <w:szCs w:val="24"/>
        </w:rPr>
      </w:pPr>
      <w:r>
        <w:rPr>
          <w:rFonts w:hint="eastAsia" w:ascii="宋体" w:hAnsi="宋体" w:cs="宋体"/>
          <w:sz w:val="24"/>
          <w:szCs w:val="24"/>
        </w:rPr>
        <w:t>注:上述是对投标人资质审查时，投标人所必须要提供的资格证明文件，如投标人未能提供上述资格证明文件以及投标人的资质条件不符合招标文件要求，做无效标处理。投标人所提供的资格证明材料应真实、有效，采购人保留对投标人提供的资格证明材料进行核查的权利。如发现投标人提供虚假资格证明材料，采购人将对其进行严肃处理。</w:t>
      </w:r>
    </w:p>
    <w:p>
      <w:pPr>
        <w:spacing w:line="360" w:lineRule="auto"/>
        <w:ind w:firstLine="480" w:firstLineChars="200"/>
        <w:rPr>
          <w:rFonts w:ascii="宋体" w:hAnsi="宋体" w:cs="宋体"/>
          <w:sz w:val="24"/>
          <w:szCs w:val="24"/>
        </w:rPr>
      </w:pPr>
      <w:r>
        <w:rPr>
          <w:rFonts w:hint="eastAsia" w:ascii="宋体" w:hAnsi="宋体" w:cs="宋体"/>
          <w:sz w:val="24"/>
          <w:szCs w:val="24"/>
        </w:rPr>
        <w:t>4.技术（服务、商务）要求响应偏离表（格式见第四章）</w:t>
      </w:r>
    </w:p>
    <w:p>
      <w:pPr>
        <w:spacing w:line="360" w:lineRule="auto"/>
        <w:ind w:firstLine="480" w:firstLineChars="200"/>
        <w:rPr>
          <w:rFonts w:ascii="宋体" w:hAnsi="宋体" w:cs="宋体"/>
          <w:sz w:val="24"/>
          <w:szCs w:val="24"/>
        </w:rPr>
      </w:pPr>
      <w:r>
        <w:rPr>
          <w:rFonts w:hint="eastAsia" w:ascii="宋体" w:hAnsi="宋体" w:cs="宋体"/>
          <w:b/>
          <w:sz w:val="24"/>
          <w:szCs w:val="24"/>
        </w:rPr>
        <w:t>投标人应对招标文件第二章中的技术（服务、商务等）要求逐项作出响应或偏离，未提供偏离表的，按照整体负偏离处理；未逐项表达响应情况的，未反映响应情况的项目按照负偏离处理</w:t>
      </w:r>
      <w:r>
        <w:rPr>
          <w:rFonts w:hint="eastAsia" w:ascii="宋体" w:hAnsi="宋体" w:cs="宋体"/>
          <w:sz w:val="24"/>
          <w:szCs w:val="24"/>
        </w:rPr>
        <w:t>。</w:t>
      </w:r>
    </w:p>
    <w:p>
      <w:pPr>
        <w:tabs>
          <w:tab w:val="left" w:pos="2820"/>
        </w:tabs>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5.售后服务承诺</w:t>
      </w:r>
    </w:p>
    <w:p>
      <w:pPr>
        <w:tabs>
          <w:tab w:val="left" w:pos="2820"/>
        </w:tabs>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tabs>
          <w:tab w:val="left" w:pos="2820"/>
        </w:tabs>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6.所投设备（服务）的技术资料</w:t>
      </w:r>
    </w:p>
    <w:p>
      <w:pPr>
        <w:tabs>
          <w:tab w:val="left" w:pos="2820"/>
        </w:tabs>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6.1投标货物的详细供货清单（主要名称、品牌、型号规格、主要技术参数及性能、数量、单价、制造商全称及制造地点等）；</w:t>
      </w:r>
    </w:p>
    <w:p>
      <w:pPr>
        <w:tabs>
          <w:tab w:val="left" w:pos="2820"/>
        </w:tabs>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6.</w:t>
      </w:r>
      <w:r>
        <w:rPr>
          <w:rFonts w:ascii="宋体" w:hAnsi="宋体" w:cs="宋体"/>
          <w:sz w:val="24"/>
          <w:szCs w:val="24"/>
        </w:rPr>
        <w:t>2</w:t>
      </w:r>
      <w:r>
        <w:rPr>
          <w:rFonts w:hint="eastAsia" w:ascii="宋体" w:hAnsi="宋体" w:cs="宋体"/>
          <w:sz w:val="24"/>
          <w:szCs w:val="24"/>
        </w:rPr>
        <w:t>卖方对买方操作、维护人员培训方案（包括培训人数、时间、地点、目的、内容、培训程度等）；</w:t>
      </w:r>
    </w:p>
    <w:p>
      <w:pPr>
        <w:shd w:val="clear" w:color="auto" w:fill="FFFFFF"/>
        <w:spacing w:line="440" w:lineRule="exact"/>
        <w:ind w:firstLine="440"/>
        <w:jc w:val="left"/>
        <w:rPr>
          <w:sz w:val="24"/>
          <w:szCs w:val="24"/>
        </w:rPr>
      </w:pPr>
      <w:r>
        <w:rPr>
          <w:sz w:val="24"/>
          <w:szCs w:val="24"/>
        </w:rPr>
        <w:t>6.3</w:t>
      </w:r>
      <w:r>
        <w:rPr>
          <w:rFonts w:hint="eastAsia"/>
          <w:sz w:val="24"/>
          <w:szCs w:val="24"/>
        </w:rPr>
        <w:t>投标货物的检测报告、鉴定证书、环保检测报告等（如有）；</w:t>
      </w:r>
    </w:p>
    <w:p>
      <w:pPr>
        <w:shd w:val="clear" w:color="auto" w:fill="FFFFFF"/>
        <w:spacing w:line="440" w:lineRule="exact"/>
        <w:ind w:firstLine="440"/>
        <w:jc w:val="left"/>
        <w:rPr>
          <w:rFonts w:ascii="宋体" w:hAnsi="宋体" w:cs="宋体"/>
          <w:sz w:val="24"/>
          <w:szCs w:val="24"/>
        </w:rPr>
      </w:pPr>
      <w:r>
        <w:rPr>
          <w:rFonts w:hint="eastAsia"/>
          <w:sz w:val="24"/>
          <w:szCs w:val="24"/>
        </w:rPr>
        <w:t>6.</w:t>
      </w:r>
      <w:r>
        <w:rPr>
          <w:sz w:val="24"/>
          <w:szCs w:val="24"/>
        </w:rPr>
        <w:t>5</w:t>
      </w:r>
      <w:r>
        <w:rPr>
          <w:rFonts w:hint="eastAsia"/>
          <w:sz w:val="24"/>
          <w:szCs w:val="24"/>
        </w:rPr>
        <w:t>投标货物交货时可提供的技术资料清单；</w:t>
      </w:r>
    </w:p>
    <w:p>
      <w:pPr>
        <w:shd w:val="clear" w:color="auto" w:fill="FFFFFF"/>
        <w:spacing w:line="440" w:lineRule="exact"/>
        <w:ind w:firstLine="440"/>
        <w:jc w:val="left"/>
        <w:rPr>
          <w:sz w:val="24"/>
          <w:szCs w:val="24"/>
        </w:rPr>
      </w:pPr>
      <w:r>
        <w:rPr>
          <w:rFonts w:ascii="宋体" w:hAnsi="宋体" w:cs="宋体"/>
          <w:sz w:val="24"/>
          <w:szCs w:val="24"/>
        </w:rPr>
        <w:t>6.4</w:t>
      </w:r>
      <w:r>
        <w:rPr>
          <w:rFonts w:hint="eastAsia"/>
          <w:sz w:val="24"/>
          <w:szCs w:val="24"/>
        </w:rPr>
        <w:t>卖方关于投标货物知识产权的承诺书；</w:t>
      </w:r>
    </w:p>
    <w:p>
      <w:pPr>
        <w:tabs>
          <w:tab w:val="left" w:pos="2820"/>
        </w:tabs>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6.</w:t>
      </w:r>
      <w:r>
        <w:rPr>
          <w:rFonts w:ascii="宋体" w:hAnsi="宋体" w:cs="宋体"/>
          <w:sz w:val="24"/>
          <w:szCs w:val="24"/>
        </w:rPr>
        <w:t>7</w:t>
      </w:r>
      <w:r>
        <w:rPr>
          <w:rFonts w:hint="eastAsia" w:ascii="宋体" w:hAnsi="宋体" w:cs="宋体"/>
          <w:sz w:val="24"/>
          <w:szCs w:val="24"/>
        </w:rPr>
        <w:t xml:space="preserve"> 需买方配合的工作和条件</w:t>
      </w:r>
    </w:p>
    <w:p>
      <w:pPr>
        <w:tabs>
          <w:tab w:val="left" w:pos="2820"/>
        </w:tabs>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7.投标人2021年1月以来与本项目同类的业绩目录（格式见第四章）及合同复印件等材料，合同原件备查。</w:t>
      </w:r>
    </w:p>
    <w:p>
      <w:pPr>
        <w:tabs>
          <w:tab w:val="left" w:pos="2820"/>
        </w:tabs>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8.评分标准中涉及的其他相关材料。</w:t>
      </w:r>
    </w:p>
    <w:p>
      <w:pPr>
        <w:tabs>
          <w:tab w:val="left" w:pos="2820"/>
        </w:tabs>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9.投标人认为需要提供的其他相关材料。</w:t>
      </w:r>
    </w:p>
    <w:p>
      <w:pPr>
        <w:tabs>
          <w:tab w:val="left" w:pos="2820"/>
        </w:tabs>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1-9项材料按顺序装订，上述有关原件备查。投标人须编制一式叁份投标文件（包括壹份正本和贰份副本），每份投标文件右上角必须清楚地标明“正本”或“副本”字样，一旦正本和副本不符，以正本为准。投标文件的正本应打印或用不褪色墨水书写；投标文件的副本可打印或用不褪色墨水书写，也可采用正本的复印件。投标文件提倡按照A4幅面打印或复印，并进行装订，如有资料超过A4幅面折叠成A4幅面；投标文件装订提倡采用胶装的形式。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装在文件袋中并密封加盖单位公章（本招标文件所表述的公章是指刻有投标人法定名称的印章，不包括合同、财务、税务、发票等形式的业务专用章），投标文件封面和材料袋封面样式见第四章。所有证件、证书加注水印或直接标注“仅供参加淮阴工学院招标用”字，未加注者责任自负。</w:t>
      </w:r>
    </w:p>
    <w:p>
      <w:pPr>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投标人应承担其编制投标文件、递交投标文件等所涉及的一切费用，无论评标结果如何，采购人对上述费用均不负任何责任。投标人自行保留投标文件底稿，评标结束，投标文件不予退还。</w:t>
      </w:r>
    </w:p>
    <w:p>
      <w:pPr>
        <w:spacing w:line="360" w:lineRule="auto"/>
        <w:ind w:firstLine="480" w:firstLineChars="200"/>
        <w:outlineLvl w:val="1"/>
        <w:rPr>
          <w:b/>
          <w:bCs/>
          <w:sz w:val="24"/>
          <w:szCs w:val="24"/>
        </w:rPr>
      </w:pPr>
      <w:r>
        <w:rPr>
          <w:rFonts w:hint="eastAsia"/>
          <w:b/>
          <w:bCs/>
          <w:sz w:val="24"/>
          <w:szCs w:val="24"/>
        </w:rPr>
        <w:t>六、投标文件递交时间、地点</w:t>
      </w:r>
    </w:p>
    <w:p>
      <w:pPr>
        <w:widowControl w:val="0"/>
        <w:spacing w:line="520" w:lineRule="exact"/>
        <w:ind w:firstLine="540" w:firstLineChars="200"/>
        <w:rPr>
          <w:rFonts w:ascii="宋体" w:hAnsi="宋体" w:cs="宋体"/>
          <w:spacing w:val="15"/>
          <w:sz w:val="24"/>
          <w:szCs w:val="24"/>
        </w:rPr>
      </w:pPr>
      <w:r>
        <w:rPr>
          <w:rFonts w:hint="eastAsia" w:ascii="宋体" w:hAnsi="宋体" w:cs="宋体"/>
          <w:spacing w:val="15"/>
          <w:sz w:val="24"/>
          <w:szCs w:val="24"/>
        </w:rPr>
        <w:t>1.投标文件递交时间</w:t>
      </w:r>
    </w:p>
    <w:p>
      <w:pPr>
        <w:widowControl w:val="0"/>
        <w:spacing w:line="520" w:lineRule="exact"/>
        <w:ind w:firstLine="540" w:firstLineChars="200"/>
        <w:rPr>
          <w:rFonts w:ascii="宋体" w:hAnsi="宋体" w:cs="宋体"/>
          <w:spacing w:val="15"/>
          <w:sz w:val="24"/>
          <w:szCs w:val="24"/>
        </w:rPr>
      </w:pPr>
      <w:r>
        <w:rPr>
          <w:rFonts w:hint="eastAsia" w:ascii="宋体" w:hAnsi="宋体" w:cs="宋体"/>
          <w:spacing w:val="15"/>
          <w:sz w:val="24"/>
          <w:szCs w:val="24"/>
        </w:rPr>
        <w:t>2024年</w:t>
      </w:r>
      <w:r>
        <w:rPr>
          <w:rFonts w:hint="eastAsia" w:ascii="宋体" w:hAnsi="宋体" w:cs="宋体"/>
          <w:spacing w:val="15"/>
          <w:sz w:val="24"/>
          <w:szCs w:val="24"/>
          <w:lang w:val="en-US" w:eastAsia="zh-CN"/>
        </w:rPr>
        <w:t>3</w:t>
      </w:r>
      <w:r>
        <w:rPr>
          <w:rFonts w:hint="eastAsia" w:ascii="宋体" w:hAnsi="宋体" w:cs="宋体"/>
          <w:spacing w:val="15"/>
          <w:sz w:val="24"/>
          <w:szCs w:val="24"/>
        </w:rPr>
        <w:t>月</w:t>
      </w:r>
      <w:r>
        <w:rPr>
          <w:rFonts w:hint="eastAsia" w:ascii="宋体" w:hAnsi="宋体" w:cs="宋体"/>
          <w:spacing w:val="15"/>
          <w:sz w:val="24"/>
          <w:szCs w:val="24"/>
          <w:lang w:val="en-US" w:eastAsia="zh-CN"/>
        </w:rPr>
        <w:t>4</w:t>
      </w:r>
      <w:r>
        <w:rPr>
          <w:rFonts w:hint="eastAsia" w:ascii="宋体" w:hAnsi="宋体" w:cs="宋体"/>
          <w:spacing w:val="15"/>
          <w:sz w:val="24"/>
          <w:szCs w:val="24"/>
        </w:rPr>
        <w:t>日下午14:00-14:30。采购人及代理机构拒绝接收在规定的投标截止时间后递交的任何投标文件。</w:t>
      </w:r>
    </w:p>
    <w:p>
      <w:pPr>
        <w:widowControl w:val="0"/>
        <w:spacing w:line="520" w:lineRule="exact"/>
        <w:ind w:firstLine="480" w:firstLineChars="200"/>
        <w:rPr>
          <w:rFonts w:ascii="宋体" w:hAnsi="宋体" w:cs="宋体"/>
          <w:sz w:val="24"/>
          <w:szCs w:val="24"/>
        </w:rPr>
      </w:pPr>
      <w:r>
        <w:rPr>
          <w:rFonts w:hint="eastAsia" w:ascii="宋体" w:hAnsi="宋体" w:cs="宋体"/>
          <w:sz w:val="24"/>
          <w:szCs w:val="24"/>
        </w:rPr>
        <w:t>2.投标文件接收地点</w:t>
      </w:r>
    </w:p>
    <w:p>
      <w:pPr>
        <w:widowControl w:val="0"/>
        <w:spacing w:line="520" w:lineRule="exact"/>
        <w:ind w:firstLine="480" w:firstLineChars="200"/>
        <w:rPr>
          <w:rFonts w:ascii="宋体" w:hAnsi="宋体" w:cs="宋体"/>
          <w:color w:val="000000"/>
          <w:sz w:val="24"/>
          <w:szCs w:val="24"/>
        </w:rPr>
      </w:pPr>
      <w:r>
        <w:rPr>
          <w:rFonts w:hint="eastAsia" w:ascii="宋体" w:hAnsi="宋体" w:cs="宋体"/>
          <w:color w:val="000000"/>
          <w:sz w:val="24"/>
          <w:szCs w:val="24"/>
        </w:rPr>
        <w:t>江苏省淮安软件园10号楼3楼会议室，送往其它部门无效。</w:t>
      </w:r>
    </w:p>
    <w:p>
      <w:pPr>
        <w:widowControl w:val="0"/>
        <w:spacing w:line="520" w:lineRule="exact"/>
        <w:ind w:firstLine="480" w:firstLineChars="200"/>
        <w:rPr>
          <w:rFonts w:ascii="宋体" w:hAnsi="宋体" w:cs="宋体"/>
          <w:sz w:val="24"/>
          <w:szCs w:val="24"/>
        </w:rPr>
      </w:pPr>
      <w:r>
        <w:rPr>
          <w:rFonts w:hint="eastAsia" w:ascii="宋体" w:hAnsi="宋体" w:cs="宋体"/>
          <w:sz w:val="24"/>
          <w:szCs w:val="24"/>
        </w:rPr>
        <w:t>3.投标有效期</w:t>
      </w:r>
    </w:p>
    <w:p>
      <w:pPr>
        <w:widowControl w:val="0"/>
        <w:spacing w:line="520" w:lineRule="exact"/>
        <w:ind w:firstLine="480" w:firstLineChars="200"/>
        <w:rPr>
          <w:rFonts w:ascii="宋体" w:hAnsi="宋体" w:cs="宋体"/>
          <w:sz w:val="24"/>
          <w:szCs w:val="24"/>
        </w:rPr>
      </w:pPr>
      <w:r>
        <w:rPr>
          <w:rFonts w:hint="eastAsia" w:ascii="宋体" w:hAnsi="宋体" w:cs="宋体"/>
          <w:sz w:val="24"/>
          <w:szCs w:val="24"/>
        </w:rPr>
        <w:t>从提交投标文件的截止之日起</w:t>
      </w:r>
      <w:r>
        <w:rPr>
          <w:rFonts w:hint="eastAsia" w:ascii="宋体" w:hAnsi="宋体" w:cs="宋体"/>
          <w:spacing w:val="15"/>
          <w:sz w:val="24"/>
          <w:szCs w:val="24"/>
        </w:rPr>
        <w:t>90天。</w:t>
      </w:r>
      <w:r>
        <w:rPr>
          <w:rFonts w:hint="eastAsia" w:ascii="宋体" w:hAnsi="宋体" w:cs="宋体"/>
          <w:sz w:val="24"/>
          <w:szCs w:val="24"/>
        </w:rPr>
        <w:t>投标文件中承诺投标有效期少于90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pPr>
        <w:widowControl w:val="0"/>
        <w:spacing w:line="520" w:lineRule="exact"/>
        <w:ind w:firstLine="480" w:firstLineChars="200"/>
        <w:rPr>
          <w:rFonts w:ascii="宋体" w:hAnsi="宋体" w:cs="宋体"/>
          <w:sz w:val="24"/>
          <w:szCs w:val="24"/>
        </w:rPr>
      </w:pPr>
      <w:r>
        <w:rPr>
          <w:rFonts w:hint="eastAsia" w:ascii="宋体" w:hAnsi="宋体" w:cs="宋体"/>
          <w:sz w:val="24"/>
          <w:szCs w:val="24"/>
        </w:rPr>
        <w:t>4.投标文件的修改和撤回</w:t>
      </w:r>
    </w:p>
    <w:p>
      <w:pPr>
        <w:widowControl w:val="0"/>
        <w:spacing w:line="520" w:lineRule="exact"/>
        <w:ind w:firstLine="480" w:firstLineChars="200"/>
        <w:rPr>
          <w:rFonts w:ascii="宋体" w:hAnsi="宋体" w:cs="宋体"/>
          <w:sz w:val="24"/>
          <w:szCs w:val="24"/>
        </w:rPr>
      </w:pPr>
      <w:r>
        <w:rPr>
          <w:rFonts w:hint="eastAsia" w:ascii="宋体" w:hAnsi="宋体" w:cs="宋体"/>
          <w:sz w:val="24"/>
          <w:szCs w:val="24"/>
        </w:rPr>
        <w:t>投标人在递交投标文件后可以对其修改或撤回，但这种修改和撤回，必须在规定的投标截止时间前。投标人不得在投标截止时间起至投标有效期满前撤回投标文件。</w:t>
      </w:r>
    </w:p>
    <w:p>
      <w:pPr>
        <w:spacing w:line="360" w:lineRule="auto"/>
        <w:ind w:firstLine="480" w:firstLineChars="200"/>
        <w:outlineLvl w:val="1"/>
        <w:rPr>
          <w:b/>
          <w:bCs/>
          <w:sz w:val="24"/>
          <w:szCs w:val="24"/>
        </w:rPr>
      </w:pPr>
      <w:r>
        <w:rPr>
          <w:rFonts w:hint="eastAsia"/>
          <w:b/>
          <w:bCs/>
          <w:sz w:val="24"/>
          <w:szCs w:val="24"/>
        </w:rPr>
        <w:t>七、开标时间及地点</w:t>
      </w:r>
    </w:p>
    <w:p>
      <w:pPr>
        <w:spacing w:line="440" w:lineRule="exact"/>
        <w:ind w:firstLine="540" w:firstLineChars="200"/>
        <w:jc w:val="left"/>
        <w:rPr>
          <w:rFonts w:ascii="宋体" w:hAnsi="宋体" w:cs="宋体"/>
          <w:spacing w:val="15"/>
          <w:sz w:val="24"/>
          <w:szCs w:val="24"/>
        </w:rPr>
      </w:pPr>
      <w:r>
        <w:rPr>
          <w:rFonts w:hint="eastAsia" w:ascii="宋体" w:hAnsi="宋体" w:cs="宋体"/>
          <w:spacing w:val="15"/>
          <w:sz w:val="24"/>
          <w:szCs w:val="24"/>
        </w:rPr>
        <w:t>1.开标时间：2024年</w:t>
      </w:r>
      <w:r>
        <w:rPr>
          <w:rFonts w:hint="eastAsia" w:ascii="宋体" w:hAnsi="宋体" w:cs="宋体"/>
          <w:spacing w:val="15"/>
          <w:sz w:val="24"/>
          <w:szCs w:val="24"/>
          <w:lang w:val="en-US" w:eastAsia="zh-CN"/>
        </w:rPr>
        <w:t>3</w:t>
      </w:r>
      <w:r>
        <w:rPr>
          <w:rFonts w:hint="eastAsia" w:ascii="宋体" w:hAnsi="宋体" w:cs="宋体"/>
          <w:spacing w:val="15"/>
          <w:sz w:val="24"/>
          <w:szCs w:val="24"/>
        </w:rPr>
        <w:t>月</w:t>
      </w:r>
      <w:r>
        <w:rPr>
          <w:rFonts w:hint="eastAsia" w:ascii="宋体" w:hAnsi="宋体" w:cs="宋体"/>
          <w:spacing w:val="15"/>
          <w:sz w:val="24"/>
          <w:szCs w:val="24"/>
          <w:lang w:val="en-US" w:eastAsia="zh-CN"/>
        </w:rPr>
        <w:t>4</w:t>
      </w:r>
      <w:r>
        <w:rPr>
          <w:rFonts w:hint="eastAsia" w:ascii="宋体" w:hAnsi="宋体" w:cs="宋体"/>
          <w:spacing w:val="15"/>
          <w:sz w:val="24"/>
          <w:szCs w:val="24"/>
        </w:rPr>
        <w:t>日14:30；</w:t>
      </w:r>
    </w:p>
    <w:p>
      <w:pPr>
        <w:spacing w:line="440" w:lineRule="exact"/>
        <w:ind w:firstLine="540" w:firstLineChars="200"/>
        <w:jc w:val="left"/>
        <w:rPr>
          <w:rFonts w:ascii="宋体" w:hAnsi="宋体" w:cs="宋体"/>
          <w:spacing w:val="15"/>
          <w:sz w:val="24"/>
          <w:szCs w:val="24"/>
        </w:rPr>
      </w:pPr>
      <w:r>
        <w:rPr>
          <w:rFonts w:hint="eastAsia" w:ascii="宋体" w:hAnsi="宋体" w:cs="宋体"/>
          <w:spacing w:val="15"/>
          <w:sz w:val="24"/>
          <w:szCs w:val="24"/>
        </w:rPr>
        <w:t>2.开标地点：江苏省淮安软件园10号楼3楼会议室。</w:t>
      </w:r>
    </w:p>
    <w:p>
      <w:pPr>
        <w:spacing w:line="440" w:lineRule="exact"/>
        <w:ind w:firstLine="540" w:firstLineChars="200"/>
        <w:jc w:val="left"/>
        <w:rPr>
          <w:rFonts w:ascii="宋体" w:hAnsi="宋体" w:cs="宋体"/>
          <w:spacing w:val="15"/>
          <w:sz w:val="24"/>
          <w:szCs w:val="24"/>
        </w:rPr>
      </w:pPr>
      <w:r>
        <w:rPr>
          <w:rFonts w:ascii="宋体" w:hAnsi="宋体" w:cs="Arial"/>
          <w:color w:val="000000" w:themeColor="text1"/>
          <w:spacing w:val="15"/>
          <w:sz w:val="24"/>
          <w14:textFill>
            <w14:solidFill>
              <w14:schemeClr w14:val="tx1"/>
            </w14:solidFill>
          </w14:textFill>
        </w:rPr>
        <w:t>3.</w:t>
      </w:r>
      <w:r>
        <w:rPr>
          <w:rFonts w:hint="eastAsia" w:ascii="宋体" w:hAnsi="宋体" w:cs="Arial"/>
          <w:color w:val="000000" w:themeColor="text1"/>
          <w:spacing w:val="15"/>
          <w:sz w:val="24"/>
          <w14:textFill>
            <w14:solidFill>
              <w14:schemeClr w14:val="tx1"/>
            </w14:solidFill>
          </w14:textFill>
        </w:rPr>
        <w:t>投标人应派代表（持授权代表身份证明）参加开标。</w:t>
      </w:r>
    </w:p>
    <w:p>
      <w:pPr>
        <w:spacing w:line="360" w:lineRule="auto"/>
        <w:ind w:firstLine="480" w:firstLineChars="200"/>
        <w:outlineLvl w:val="1"/>
        <w:rPr>
          <w:b/>
          <w:bCs/>
          <w:sz w:val="24"/>
          <w:szCs w:val="24"/>
        </w:rPr>
      </w:pPr>
      <w:r>
        <w:rPr>
          <w:rFonts w:hint="eastAsia"/>
          <w:b/>
          <w:bCs/>
          <w:sz w:val="24"/>
          <w:szCs w:val="24"/>
        </w:rPr>
        <w:t>八、评标办法</w:t>
      </w:r>
    </w:p>
    <w:p>
      <w:pPr>
        <w:spacing w:line="440" w:lineRule="exact"/>
        <w:ind w:firstLine="480" w:firstLineChars="200"/>
        <w:rPr>
          <w:rFonts w:ascii="宋体" w:hAnsi="宋体" w:cs="宋体"/>
          <w:sz w:val="24"/>
          <w:szCs w:val="24"/>
        </w:rPr>
      </w:pPr>
      <w:r>
        <w:rPr>
          <w:rFonts w:hint="eastAsia" w:ascii="宋体" w:hAnsi="宋体" w:cs="宋体"/>
          <w:sz w:val="24"/>
          <w:szCs w:val="24"/>
        </w:rPr>
        <w:t>本项目采用综合评分法。评标委员会（以下简称评委会）将本着公平、公正原则，对通过资格审核的投标文件进行符合性审查，依据评分标准对于实质上响应招标文件要求的投标文件进行评价和比较。综合评分法，是指投标文件满足招标文件全部实质性要求，且按照评审因素的量化指标评审得分最高的投标人为中标候选人的评标方法。</w:t>
      </w:r>
    </w:p>
    <w:p>
      <w:pPr>
        <w:spacing w:line="440" w:lineRule="exact"/>
        <w:ind w:firstLine="480" w:firstLineChars="200"/>
        <w:rPr>
          <w:rFonts w:ascii="宋体" w:hAnsi="宋体" w:cs="宋体"/>
          <w:sz w:val="24"/>
          <w:szCs w:val="24"/>
        </w:rPr>
      </w:pPr>
      <w:r>
        <w:rPr>
          <w:rFonts w:hint="eastAsia" w:ascii="宋体" w:hAnsi="宋体" w:cs="宋体"/>
          <w:sz w:val="24"/>
          <w:szCs w:val="24"/>
        </w:rPr>
        <w:t>评委会将依据评分标准（见下表）进行评标，本评分标准的总分为100分。按评审后得分由高到低顺序排列。得分相同的，按投标报价由低到高顺序排列；得分且投标报价相同的并列，按技术部分得分高低顺序排列。投标文件满足招标文件全部实质性要求，且按照评审因素的量化指标评审得分最高的投标人为排名第一的中标候选人。若投标不足3家或实质性响应不足3家，采购人可以宣布项目流标或可采用竞争性磋商等方式确定供货商。</w:t>
      </w:r>
    </w:p>
    <w:p>
      <w:pPr>
        <w:tabs>
          <w:tab w:val="left" w:pos="2820"/>
        </w:tabs>
        <w:spacing w:line="440" w:lineRule="exact"/>
        <w:jc w:val="center"/>
        <w:rPr>
          <w:rFonts w:ascii="宋体" w:hAnsi="宋体" w:cs="宋体"/>
          <w:b/>
          <w:bCs/>
          <w:sz w:val="24"/>
          <w:szCs w:val="24"/>
        </w:rPr>
      </w:pPr>
      <w:r>
        <w:rPr>
          <w:rFonts w:hint="eastAsia" w:ascii="宋体" w:hAnsi="宋体" w:cs="宋体"/>
          <w:b/>
          <w:bCs/>
          <w:sz w:val="24"/>
          <w:szCs w:val="24"/>
        </w:rPr>
        <w:t>评分标准</w:t>
      </w:r>
    </w:p>
    <w:tbl>
      <w:tblPr>
        <w:tblStyle w:val="20"/>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55" w:type="dxa"/>
            <w:vAlign w:val="center"/>
          </w:tcPr>
          <w:p>
            <w:pPr>
              <w:jc w:val="center"/>
              <w:rPr>
                <w:rFonts w:ascii="宋体" w:hAnsi="宋体" w:cs="宋体"/>
                <w:b/>
                <w:bCs/>
                <w:sz w:val="24"/>
                <w:szCs w:val="24"/>
              </w:rPr>
            </w:pPr>
            <w:r>
              <w:rPr>
                <w:rFonts w:hint="eastAsia" w:ascii="宋体" w:hAnsi="宋体" w:cs="宋体"/>
                <w:b/>
                <w:bCs/>
                <w:sz w:val="24"/>
                <w:szCs w:val="24"/>
              </w:rPr>
              <w:t>项目</w:t>
            </w:r>
          </w:p>
        </w:tc>
        <w:tc>
          <w:tcPr>
            <w:tcW w:w="8079" w:type="dxa"/>
            <w:vAlign w:val="center"/>
          </w:tcPr>
          <w:p>
            <w:pPr>
              <w:pStyle w:val="6"/>
              <w:jc w:val="center"/>
              <w:rPr>
                <w:rFonts w:ascii="宋体" w:hAnsi="宋体" w:cs="宋体"/>
                <w:sz w:val="24"/>
                <w:szCs w:val="24"/>
              </w:rPr>
            </w:pPr>
            <w:r>
              <w:rPr>
                <w:rFonts w:hint="eastAsia" w:ascii="宋体" w:hAnsi="宋体" w:cs="宋体"/>
                <w:b/>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1555" w:type="dxa"/>
            <w:vAlign w:val="center"/>
          </w:tcPr>
          <w:p>
            <w:pPr>
              <w:jc w:val="center"/>
              <w:rPr>
                <w:rFonts w:ascii="宋体" w:hAnsi="宋体" w:cs="宋体"/>
                <w:b/>
                <w:bCs/>
                <w:sz w:val="24"/>
                <w:szCs w:val="24"/>
              </w:rPr>
            </w:pPr>
            <w:r>
              <w:rPr>
                <w:rFonts w:hint="eastAsia" w:ascii="宋体" w:hAnsi="宋体" w:cs="宋体"/>
                <w:sz w:val="24"/>
                <w:szCs w:val="24"/>
              </w:rPr>
              <w:t>价格部分（30分）</w:t>
            </w:r>
          </w:p>
        </w:tc>
        <w:tc>
          <w:tcPr>
            <w:tcW w:w="8079" w:type="dxa"/>
            <w:vAlign w:val="center"/>
          </w:tcPr>
          <w:p>
            <w:pPr>
              <w:pStyle w:val="6"/>
              <w:rPr>
                <w:rFonts w:ascii="宋体" w:hAnsi="宋体" w:cs="宋体"/>
                <w:sz w:val="24"/>
                <w:szCs w:val="24"/>
              </w:rPr>
            </w:pPr>
            <w:r>
              <w:rPr>
                <w:rFonts w:hint="eastAsia" w:ascii="宋体" w:hAnsi="宋体" w:cs="宋体"/>
                <w:sz w:val="24"/>
                <w:szCs w:val="24"/>
              </w:rPr>
              <w:t>以满足招标要求且投标报价最低的有效报价为评标基准价，投标报价等于基准价得3</w:t>
            </w:r>
            <w:r>
              <w:rPr>
                <w:rFonts w:ascii="宋体" w:hAnsi="宋体" w:cs="宋体"/>
                <w:sz w:val="24"/>
                <w:szCs w:val="24"/>
              </w:rPr>
              <w:t>0</w:t>
            </w:r>
            <w:r>
              <w:rPr>
                <w:rFonts w:hint="eastAsia" w:ascii="宋体" w:hAnsi="宋体" w:cs="宋体"/>
                <w:sz w:val="24"/>
                <w:szCs w:val="24"/>
              </w:rPr>
              <w:t>分，投标价格高于基准价的按下列公式计算：</w:t>
            </w:r>
          </w:p>
          <w:p>
            <w:pPr>
              <w:pStyle w:val="6"/>
              <w:rPr>
                <w:rFonts w:ascii="宋体" w:hAnsi="宋体" w:cs="宋体"/>
                <w:sz w:val="24"/>
                <w:szCs w:val="24"/>
              </w:rPr>
            </w:pPr>
            <w:r>
              <w:rPr>
                <w:rFonts w:hint="eastAsia" w:ascii="宋体" w:hAnsi="宋体" w:cs="宋体"/>
                <w:sz w:val="24"/>
                <w:szCs w:val="24"/>
              </w:rPr>
              <w:t>投标报价得分=（评标基准价/投标报价）*3</w:t>
            </w:r>
            <w:r>
              <w:rPr>
                <w:rFonts w:ascii="宋体" w:hAnsi="宋体" w:cs="宋体"/>
                <w:sz w:val="24"/>
                <w:szCs w:val="24"/>
              </w:rPr>
              <w:t>0</w:t>
            </w:r>
          </w:p>
          <w:p>
            <w:pPr>
              <w:pStyle w:val="6"/>
              <w:rPr>
                <w:rFonts w:ascii="宋体" w:hAnsi="宋体" w:cs="宋体"/>
                <w:sz w:val="24"/>
                <w:szCs w:val="24"/>
              </w:rPr>
            </w:pPr>
            <w:r>
              <w:rPr>
                <w:rFonts w:hint="eastAsia" w:ascii="宋体" w:hAnsi="宋体" w:cs="宋体"/>
                <w:sz w:val="24"/>
                <w:szCs w:val="24"/>
              </w:rPr>
              <w:t>说明：</w:t>
            </w:r>
          </w:p>
          <w:p>
            <w:pPr>
              <w:pStyle w:val="6"/>
              <w:rPr>
                <w:rFonts w:ascii="宋体" w:hAnsi="宋体" w:cs="宋体"/>
                <w:sz w:val="24"/>
                <w:szCs w:val="24"/>
              </w:rPr>
            </w:pPr>
            <w:r>
              <w:rPr>
                <w:rFonts w:hint="eastAsia" w:ascii="宋体" w:hAnsi="宋体" w:cs="宋体"/>
                <w:sz w:val="24"/>
                <w:szCs w:val="24"/>
              </w:rPr>
              <w:t>（1）评标委员会发现投标人的报价明显低于其他投标报价，使得其投标报价可能低于其成本的，应当要求该投标人作出书面说明并提供相应证明材料。投标人不能合理说明或者不能提供相应证明材料，由评标委员会认定该投标人以低于成本报价竞标，其投标作无效标处理。</w:t>
            </w:r>
          </w:p>
          <w:p>
            <w:pPr>
              <w:pStyle w:val="6"/>
              <w:rPr>
                <w:rFonts w:ascii="宋体" w:hAnsi="宋体" w:cs="宋体"/>
                <w:sz w:val="24"/>
                <w:szCs w:val="24"/>
              </w:rPr>
            </w:pPr>
            <w:r>
              <w:rPr>
                <w:rFonts w:hint="eastAsia" w:ascii="宋体" w:hAnsi="宋体" w:cs="宋体"/>
                <w:sz w:val="24"/>
                <w:szCs w:val="24"/>
              </w:rPr>
              <w:t>（2）本项目设置最高投标限价，投标人投标报价高于最高投标限价的，其投标将被否决。</w:t>
            </w:r>
          </w:p>
          <w:p>
            <w:pPr>
              <w:pStyle w:val="6"/>
              <w:rPr>
                <w:rFonts w:ascii="宋体" w:hAnsi="宋体" w:cs="宋体"/>
                <w:sz w:val="24"/>
                <w:szCs w:val="24"/>
              </w:rPr>
            </w:pPr>
            <w:r>
              <w:rPr>
                <w:rFonts w:hint="eastAsia" w:ascii="宋体" w:hAnsi="宋体" w:cs="宋体"/>
                <w:sz w:val="24"/>
                <w:szCs w:val="24"/>
              </w:rPr>
              <w:t>（3）计算结果四舍五入保留小数点后两位。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555" w:type="dxa"/>
            <w:vAlign w:val="center"/>
          </w:tcPr>
          <w:p>
            <w:pPr>
              <w:jc w:val="center"/>
              <w:textAlignment w:val="center"/>
              <w:rPr>
                <w:rFonts w:ascii="宋体" w:hAnsi="宋体" w:cs="宋体"/>
                <w:b/>
                <w:bCs/>
                <w:sz w:val="24"/>
                <w:szCs w:val="24"/>
              </w:rPr>
            </w:pPr>
            <w:r>
              <w:rPr>
                <w:rFonts w:hint="eastAsia" w:ascii="宋体" w:hAnsi="宋体" w:cs="宋体"/>
                <w:color w:val="000000"/>
                <w:sz w:val="24"/>
                <w:szCs w:val="24"/>
                <w:lang w:bidi="ar"/>
              </w:rPr>
              <w:t>技术部分（</w:t>
            </w:r>
            <w:r>
              <w:rPr>
                <w:rFonts w:ascii="宋体" w:hAnsi="宋体" w:cs="宋体"/>
                <w:color w:val="000000"/>
                <w:sz w:val="24"/>
                <w:szCs w:val="24"/>
                <w:lang w:bidi="ar"/>
              </w:rPr>
              <w:t>30</w:t>
            </w:r>
            <w:r>
              <w:rPr>
                <w:rFonts w:hint="eastAsia" w:ascii="宋体" w:hAnsi="宋体" w:cs="宋体"/>
                <w:color w:val="000000"/>
                <w:sz w:val="24"/>
                <w:szCs w:val="24"/>
                <w:lang w:bidi="ar"/>
              </w:rPr>
              <w:t>分）</w:t>
            </w:r>
          </w:p>
        </w:tc>
        <w:tc>
          <w:tcPr>
            <w:tcW w:w="8079" w:type="dxa"/>
          </w:tcPr>
          <w:p>
            <w:pPr>
              <w:numPr>
                <w:ilvl w:val="0"/>
                <w:numId w:val="2"/>
              </w:numPr>
              <w:pBdr>
                <w:top w:val="none" w:color="000000" w:sz="0" w:space="0"/>
                <w:left w:val="none" w:color="000000" w:sz="0" w:space="0"/>
                <w:bottom w:val="none" w:color="000000" w:sz="0" w:space="0"/>
                <w:right w:val="none" w:color="000000" w:sz="0" w:space="0"/>
              </w:pBdr>
              <w:spacing w:line="85" w:lineRule="atLeast"/>
              <w:rPr>
                <w:rFonts w:ascii="宋体" w:hAnsi="宋体" w:cs="宋体"/>
                <w:color w:val="000000"/>
                <w:sz w:val="24"/>
                <w:szCs w:val="24"/>
                <w:lang w:bidi="ar"/>
              </w:rPr>
            </w:pPr>
            <w:r>
              <w:rPr>
                <w:rFonts w:hint="eastAsia" w:ascii="宋体" w:hAnsi="宋体" w:cs="宋体"/>
                <w:color w:val="000000"/>
                <w:sz w:val="24"/>
                <w:szCs w:val="24"/>
                <w:lang w:bidi="ar"/>
              </w:rPr>
              <w:t>投标人所投产品的技术参数完全满足招标文件“采购需求”中标注“★”号技术参数要求的得30分。</w:t>
            </w:r>
          </w:p>
          <w:p>
            <w:pPr>
              <w:pBdr>
                <w:top w:val="none" w:color="000000" w:sz="0" w:space="0"/>
                <w:left w:val="none" w:color="000000" w:sz="0" w:space="0"/>
                <w:bottom w:val="none" w:color="000000" w:sz="0" w:space="0"/>
                <w:right w:val="none" w:color="000000" w:sz="0" w:space="0"/>
              </w:pBdr>
              <w:spacing w:line="85" w:lineRule="atLeast"/>
            </w:pPr>
            <w:r>
              <w:rPr>
                <w:rFonts w:hint="eastAsia" w:ascii="宋体" w:hAnsi="宋体" w:cs="宋体"/>
                <w:color w:val="000000"/>
                <w:sz w:val="24"/>
              </w:rPr>
              <w:t>（2）</w:t>
            </w:r>
            <w:r>
              <w:rPr>
                <w:rFonts w:ascii="宋体" w:hAnsi="宋体" w:cs="宋体"/>
                <w:color w:val="000000"/>
                <w:sz w:val="24"/>
              </w:rPr>
              <w:t>采购文件技术参数要求中</w:t>
            </w:r>
            <w:r>
              <w:rPr>
                <w:rFonts w:hint="eastAsia" w:ascii="宋体" w:hAnsi="宋体" w:cs="宋体"/>
                <w:color w:val="000000"/>
                <w:sz w:val="24"/>
              </w:rPr>
              <w:t>，</w:t>
            </w:r>
            <w:r>
              <w:rPr>
                <w:rFonts w:ascii="宋体" w:hAnsi="宋体" w:cs="宋体"/>
                <w:color w:val="000000"/>
                <w:sz w:val="24"/>
              </w:rPr>
              <w:t>带“▲”条款为重要指标，有一项负偏离扣1.5分</w:t>
            </w:r>
            <w:r>
              <w:rPr>
                <w:rFonts w:hint="eastAsia" w:ascii="宋体" w:hAnsi="宋体" w:cs="宋体"/>
                <w:color w:val="000000"/>
                <w:sz w:val="24"/>
              </w:rPr>
              <w:t>；</w:t>
            </w:r>
            <w:r>
              <w:rPr>
                <w:rFonts w:ascii="宋体" w:hAnsi="宋体" w:cs="宋体"/>
                <w:color w:val="000000"/>
                <w:sz w:val="24"/>
              </w:rPr>
              <w:t>其它条款为一般性指标，有一项负偏离扣0.</w:t>
            </w:r>
            <w:r>
              <w:rPr>
                <w:rFonts w:hint="eastAsia" w:ascii="宋体" w:hAnsi="宋体" w:cs="宋体"/>
                <w:color w:val="000000"/>
                <w:sz w:val="24"/>
              </w:rPr>
              <w:t>5</w:t>
            </w:r>
            <w:r>
              <w:rPr>
                <w:rFonts w:ascii="宋体" w:hAnsi="宋体" w:cs="宋体"/>
                <w:color w:val="000000"/>
                <w:sz w:val="24"/>
              </w:rPr>
              <w:t>分。直到本项扣完为止。</w:t>
            </w:r>
          </w:p>
          <w:p>
            <w:pPr>
              <w:pBdr>
                <w:top w:val="none" w:color="000000" w:sz="0" w:space="0"/>
                <w:left w:val="none" w:color="000000" w:sz="0" w:space="0"/>
                <w:bottom w:val="none" w:color="000000" w:sz="0" w:space="0"/>
                <w:right w:val="none" w:color="000000" w:sz="0" w:space="0"/>
              </w:pBdr>
              <w:spacing w:line="85" w:lineRule="atLeast"/>
              <w:ind w:firstLine="480"/>
            </w:pPr>
            <w:r>
              <w:rPr>
                <w:rFonts w:ascii="宋体" w:hAnsi="宋体" w:cs="宋体"/>
                <w:color w:val="000000"/>
                <w:sz w:val="24"/>
              </w:rPr>
              <w:t>带“</w:t>
            </w:r>
            <w:r>
              <w:rPr>
                <w:rFonts w:hint="eastAsia" w:ascii="宋体" w:hAnsi="宋体" w:cs="宋体"/>
                <w:color w:val="000000"/>
                <w:sz w:val="24"/>
                <w:szCs w:val="24"/>
                <w:lang w:bidi="ar"/>
              </w:rPr>
              <w:t>★、</w:t>
            </w:r>
            <w:r>
              <w:rPr>
                <w:rFonts w:ascii="宋体" w:hAnsi="宋体" w:cs="宋体"/>
                <w:color w:val="000000"/>
                <w:sz w:val="24"/>
              </w:rPr>
              <w:t>▲”条款指标须在投标文件中提供技术支持资料并加盖公章</w:t>
            </w:r>
            <w:r>
              <w:rPr>
                <w:rFonts w:hint="eastAsia" w:ascii="宋体" w:hAnsi="宋体" w:cs="宋体"/>
                <w:color w:val="000000"/>
                <w:sz w:val="24"/>
              </w:rPr>
              <w:t>，</w:t>
            </w:r>
            <w:r>
              <w:rPr>
                <w:rFonts w:ascii="宋体" w:hAnsi="宋体" w:cs="宋体"/>
                <w:color w:val="000000"/>
                <w:sz w:val="24"/>
              </w:rPr>
              <w:t>未提供技术支持资料的，视同未对招标文件要求作出响应，评审时不予认可。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55" w:type="dxa"/>
            <w:vAlign w:val="center"/>
          </w:tcPr>
          <w:p>
            <w:pPr>
              <w:jc w:val="center"/>
              <w:textAlignment w:val="center"/>
              <w:rPr>
                <w:rFonts w:ascii="宋体" w:hAnsi="宋体" w:cs="宋体"/>
                <w:b/>
                <w:bCs/>
                <w:sz w:val="24"/>
                <w:szCs w:val="24"/>
              </w:rPr>
            </w:pPr>
            <w:r>
              <w:rPr>
                <w:rFonts w:hint="eastAsia" w:ascii="宋体" w:hAnsi="宋体" w:cs="宋体"/>
                <w:color w:val="000000"/>
                <w:sz w:val="24"/>
                <w:szCs w:val="24"/>
                <w:lang w:bidi="ar"/>
              </w:rPr>
              <w:t>方案部分（1</w:t>
            </w:r>
            <w:r>
              <w:rPr>
                <w:rFonts w:ascii="宋体" w:hAnsi="宋体" w:cs="宋体"/>
                <w:color w:val="000000"/>
                <w:sz w:val="24"/>
                <w:szCs w:val="24"/>
                <w:lang w:bidi="ar"/>
              </w:rPr>
              <w:t>2</w:t>
            </w:r>
            <w:r>
              <w:rPr>
                <w:rFonts w:hint="eastAsia" w:ascii="宋体" w:hAnsi="宋体" w:cs="宋体"/>
                <w:color w:val="000000"/>
                <w:sz w:val="24"/>
                <w:szCs w:val="24"/>
                <w:lang w:bidi="ar"/>
              </w:rPr>
              <w:t>分）</w:t>
            </w:r>
          </w:p>
        </w:tc>
        <w:tc>
          <w:tcPr>
            <w:tcW w:w="8079" w:type="dxa"/>
          </w:tcPr>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投标人按照下列要求提供方案，评委会根据投标人提供的方案进行评分，不提供分项方案或经三分之二评委认定分项方案存在重大偏离的，该分项不得分。</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（1）项目进度计划、项目人员配置、和各阶段进度的保证措施：（2分）</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进度计划、项目人员配置编制详细合理、可行，可操作性强，各阶段进度保障措施可靠的得2分；施工进度计划、项目人员配置编制较详细合理、可行，具有可操作性，各阶段进度保障措施较可靠的得1分；施工进度计划、项目人员配置编制较为简单、可操作性一般，各阶段进度保障措施可靠性一般的得0.5分。</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（2）系统安装施工调试方案、项目质量管理措施：（2分）</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项目系统安装施工调试方案、质量管理措施内容全面周到、可操作性强的得2分；内容较全面周到、可操作性较强的得1分；内容不全面、可操作性一般的得0.5分。</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（3）安全施工、文明施工及环境保护措施：（2分）</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安全施工、文明施工及环境保护措施全面合理、可操作性强的得2分；安全施工、文明施工及环境保护措施较全面合理、可操作性合理的得1分；安全施工、文明施工及环境保护措施不全面、可操作性一般的得0.5分。</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（4）项目效果图：（2分）</w:t>
            </w:r>
          </w:p>
          <w:p>
            <w:pPr>
              <w:jc w:val="left"/>
              <w:textAlignment w:val="top"/>
              <w:rPr>
                <w:rFonts w:ascii="宋体" w:hAnsi="宋体" w:cs="宋体"/>
                <w:color w:val="000000"/>
                <w:sz w:val="24"/>
                <w:szCs w:val="24"/>
                <w:lang w:bidi="ar"/>
              </w:rPr>
            </w:pPr>
            <w:r>
              <w:rPr>
                <w:rFonts w:hint="eastAsia" w:ascii="宋体" w:hAnsi="宋体" w:cs="宋体"/>
                <w:color w:val="000000"/>
                <w:sz w:val="24"/>
                <w:szCs w:val="24"/>
              </w:rPr>
              <w:t>投标人</w:t>
            </w:r>
            <w:r>
              <w:rPr>
                <w:rFonts w:hint="eastAsia" w:ascii="宋体" w:hAnsi="宋体" w:cs="宋体"/>
                <w:color w:val="000000"/>
                <w:sz w:val="24"/>
                <w:szCs w:val="24"/>
                <w:lang w:bidi="ar"/>
              </w:rPr>
              <w:t>提供管控室及广播级录播教室效果图，每提供一间教室的效果图得1分（要求科学合理清晰、符合项目特点），本项最多得2分，不满足要求或不提供效果图不得分。</w:t>
            </w:r>
          </w:p>
          <w:p>
            <w:pPr>
              <w:pBdr>
                <w:top w:val="none" w:color="000000" w:sz="0" w:space="0"/>
                <w:left w:val="none" w:color="000000" w:sz="0" w:space="0"/>
                <w:bottom w:val="none" w:color="000000" w:sz="0" w:space="0"/>
                <w:right w:val="none" w:color="000000" w:sz="0" w:space="0"/>
              </w:pBdr>
              <w:spacing w:line="85" w:lineRule="atLeast"/>
              <w:rPr>
                <w:rFonts w:ascii="宋体" w:hAnsi="宋体" w:cs="宋体"/>
                <w:sz w:val="24"/>
                <w:szCs w:val="24"/>
                <w:lang w:bidi="ar"/>
              </w:rPr>
            </w:pPr>
            <w:r>
              <w:rPr>
                <w:rFonts w:hint="eastAsia" w:ascii="宋体" w:hAnsi="宋体" w:cs="宋体"/>
                <w:sz w:val="24"/>
                <w:szCs w:val="24"/>
              </w:rPr>
              <w:t>（</w:t>
            </w:r>
            <w:r>
              <w:rPr>
                <w:rFonts w:ascii="宋体" w:hAnsi="宋体" w:cs="宋体"/>
                <w:sz w:val="24"/>
                <w:szCs w:val="24"/>
              </w:rPr>
              <w:t>5）教室模拟建声声场及空间照明模拟方案</w:t>
            </w:r>
            <w:r>
              <w:rPr>
                <w:rFonts w:hint="eastAsia" w:ascii="宋体" w:hAnsi="宋体" w:cs="宋体"/>
                <w:sz w:val="24"/>
                <w:szCs w:val="24"/>
                <w:lang w:bidi="ar"/>
              </w:rPr>
              <w:t>（</w:t>
            </w:r>
            <w:r>
              <w:rPr>
                <w:rFonts w:ascii="宋体" w:hAnsi="宋体" w:cs="宋体"/>
                <w:sz w:val="24"/>
                <w:szCs w:val="24"/>
                <w:lang w:bidi="ar"/>
              </w:rPr>
              <w:t>4分）</w:t>
            </w:r>
          </w:p>
          <w:p>
            <w:pPr>
              <w:pBdr>
                <w:top w:val="none" w:color="000000" w:sz="0" w:space="0"/>
                <w:left w:val="none" w:color="000000" w:sz="0" w:space="0"/>
                <w:bottom w:val="none" w:color="000000" w:sz="0" w:space="0"/>
                <w:right w:val="none" w:color="000000" w:sz="0" w:space="0"/>
              </w:pBdr>
              <w:spacing w:line="85" w:lineRule="atLeast"/>
              <w:rPr>
                <w:rFonts w:ascii="宋体" w:hAnsi="宋体" w:cs="宋体"/>
                <w:sz w:val="24"/>
                <w:szCs w:val="24"/>
              </w:rPr>
            </w:pPr>
            <w:r>
              <w:rPr>
                <w:rFonts w:hint="eastAsia" w:ascii="宋体" w:hAnsi="宋体" w:cs="宋体"/>
                <w:sz w:val="24"/>
                <w:szCs w:val="24"/>
              </w:rPr>
              <w:t>投标人应根据招标文件要求提供具体详实的教室模拟建声声场方案及教室空间照明模拟方案，每提供一个方案优于招标文件要求的得</w:t>
            </w:r>
            <w:r>
              <w:rPr>
                <w:rFonts w:ascii="宋体" w:hAnsi="宋体" w:cs="宋体"/>
                <w:sz w:val="24"/>
                <w:szCs w:val="24"/>
              </w:rPr>
              <w:t>2分，符合招标要求文件的得1分，未提供或不满足的不得分，本项最多得4分。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hAnsi="宋体" w:cs="宋体"/>
                <w:b/>
                <w:bCs/>
                <w:sz w:val="24"/>
                <w:szCs w:val="24"/>
              </w:rPr>
            </w:pPr>
            <w:r>
              <w:rPr>
                <w:rFonts w:hint="eastAsia" w:ascii="宋体" w:hAnsi="宋体" w:cs="宋体"/>
                <w:color w:val="000000"/>
                <w:sz w:val="24"/>
                <w:szCs w:val="24"/>
                <w:lang w:bidi="ar"/>
              </w:rPr>
              <w:t>视频演示（8分）</w:t>
            </w:r>
          </w:p>
        </w:tc>
        <w:tc>
          <w:tcPr>
            <w:tcW w:w="8079" w:type="dxa"/>
            <w:tcBorders>
              <w:top w:val="single" w:color="auto" w:sz="4" w:space="0"/>
              <w:left w:val="single" w:color="auto" w:sz="4" w:space="0"/>
              <w:bottom w:val="single" w:color="auto" w:sz="4" w:space="0"/>
              <w:right w:val="single" w:color="auto" w:sz="4" w:space="0"/>
            </w:tcBorders>
          </w:tcPr>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投标人所提供的演示视频需能够逐一展示下述各个功能项。经三分之二评委认定，在演示视频中未能体现该功能项的，则该功能项不得分。演示时间不超过1</w:t>
            </w:r>
            <w:r>
              <w:rPr>
                <w:rFonts w:ascii="宋体" w:hAnsi="宋体" w:cs="宋体"/>
                <w:color w:val="000000"/>
                <w:sz w:val="24"/>
                <w:szCs w:val="24"/>
                <w:lang w:bidi="ar"/>
              </w:rPr>
              <w:t>0</w:t>
            </w:r>
            <w:r>
              <w:rPr>
                <w:rFonts w:hint="eastAsia" w:ascii="宋体" w:hAnsi="宋体" w:cs="宋体"/>
                <w:color w:val="000000"/>
                <w:sz w:val="24"/>
                <w:szCs w:val="24"/>
                <w:lang w:bidi="ar"/>
              </w:rPr>
              <w:t>分钟。</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（一）、三拼一体机：</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①支持在显示屏上以独立窗口形式对比演示多个PPT课件，任意课件可以查看页码导航，左右滑动屏幕来切换上下页，课件窗口可实现手势缩放、飞屏；（1分）</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②支持在显示屏同时展示浏览器、视频、图片、文档等多个类型任务窗口，可实现所有任务窗口的一键收起、一键打开，并可通过快捷窗口快速将目标窗口拖动至面前；（2分）</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③可实现三屏幕拼合状态下任意相邻屏的拼合展示，同时可支持多个任务窗口的跨屏幕显示;（2分）</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④支持将屏幕内容镜像到任意某个屏幕，可对PC端投屏镜像进行反向触控操作，且投屏镜像能够以窗口形式移动至任意屏幕；（1分）</w:t>
            </w:r>
          </w:p>
          <w:p>
            <w:pPr>
              <w:jc w:val="left"/>
              <w:textAlignment w:val="top"/>
              <w:rPr>
                <w:rFonts w:ascii="宋体" w:hAnsi="宋体" w:cs="宋体"/>
                <w:sz w:val="24"/>
                <w:szCs w:val="24"/>
              </w:rPr>
            </w:pPr>
            <w:r>
              <w:rPr>
                <w:rFonts w:hint="eastAsia" w:ascii="宋体" w:hAnsi="宋体" w:cs="宋体"/>
                <w:color w:val="000000"/>
                <w:sz w:val="24"/>
                <w:szCs w:val="24"/>
                <w:lang w:bidi="ar"/>
              </w:rPr>
              <w:t>⑤可以对图片、视频类型窗口进行手势缩放、拖动、旋转、换屏操作，支持图片视频全屏至双屏及三屏播放；（2分）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投标人业绩</w:t>
            </w:r>
          </w:p>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（4分）</w:t>
            </w:r>
          </w:p>
        </w:tc>
        <w:tc>
          <w:tcPr>
            <w:tcW w:w="8079" w:type="dxa"/>
            <w:tcBorders>
              <w:top w:val="single" w:color="auto" w:sz="4" w:space="0"/>
              <w:left w:val="single" w:color="auto" w:sz="4" w:space="0"/>
              <w:bottom w:val="single" w:color="auto" w:sz="4" w:space="0"/>
              <w:right w:val="single" w:color="auto" w:sz="4" w:space="0"/>
            </w:tcBorders>
          </w:tcPr>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投标人具有自202</w:t>
            </w:r>
            <w:r>
              <w:rPr>
                <w:rFonts w:ascii="宋体" w:hAnsi="宋体" w:cs="宋体"/>
                <w:color w:val="000000"/>
                <w:sz w:val="24"/>
                <w:szCs w:val="24"/>
                <w:lang w:bidi="ar"/>
              </w:rPr>
              <w:t>1</w:t>
            </w:r>
            <w:r>
              <w:rPr>
                <w:rFonts w:hint="eastAsia" w:ascii="宋体" w:hAnsi="宋体" w:cs="宋体"/>
                <w:color w:val="000000"/>
                <w:sz w:val="24"/>
                <w:szCs w:val="24"/>
                <w:lang w:bidi="ar"/>
              </w:rPr>
              <w:t>年1月以来类似案例合同（至少包含显示系统、控制管理系统、扩声系统、环境改造工程），合同中不得隐去任何内容，否则无效，（时间以合同签订时间为准，提供合同复印件、合同收款部分发票复印件等证明材料并加盖投标人公章，每提供一个案例得</w:t>
            </w:r>
            <w:r>
              <w:rPr>
                <w:rFonts w:ascii="宋体" w:hAnsi="宋体" w:cs="宋体"/>
                <w:color w:val="FF0000"/>
                <w:sz w:val="24"/>
                <w:szCs w:val="24"/>
                <w:lang w:bidi="ar"/>
              </w:rPr>
              <w:t>1</w:t>
            </w:r>
            <w:r>
              <w:rPr>
                <w:rFonts w:hint="eastAsia" w:ascii="宋体" w:hAnsi="宋体" w:cs="宋体"/>
                <w:color w:val="000000"/>
                <w:sz w:val="24"/>
                <w:szCs w:val="24"/>
                <w:lang w:bidi="ar"/>
              </w:rPr>
              <w:t>分，最多得4分，未提供则不得分）。</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注：须提供业绩合同和中标通知书（扫描件加盖投标人公章），否则不得分。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资质、实力</w:t>
            </w:r>
          </w:p>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（10分）</w:t>
            </w:r>
          </w:p>
        </w:tc>
        <w:tc>
          <w:tcPr>
            <w:tcW w:w="8079" w:type="dxa"/>
            <w:tcBorders>
              <w:top w:val="single" w:color="auto" w:sz="4" w:space="0"/>
              <w:left w:val="single" w:color="auto" w:sz="4" w:space="0"/>
              <w:bottom w:val="single" w:color="auto" w:sz="4" w:space="0"/>
              <w:right w:val="single" w:color="auto" w:sz="4" w:space="0"/>
            </w:tcBorders>
          </w:tcPr>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（1）投标人具备电子与智能化专业承包贰级或以上资质证书的得2分，没有不得分。（提供证书复印件并加盖投标人公章）</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（2）投标人具有信息技术服务管理体系认证证书的得2分，没有不得分。（提供证书复印件并加盖投标人公章）</w:t>
            </w:r>
          </w:p>
          <w:p>
            <w:pPr>
              <w:pStyle w:val="19"/>
              <w:spacing w:line="240" w:lineRule="auto"/>
              <w:ind w:left="0" w:leftChars="0" w:firstLine="0" w:firstLineChars="0"/>
            </w:pPr>
            <w:r>
              <w:rPr>
                <w:rFonts w:hint="eastAsia" w:ascii="宋体" w:hAnsi="宋体" w:eastAsia="宋体" w:cs="宋体"/>
                <w:color w:val="000000"/>
                <w:sz w:val="24"/>
                <w:szCs w:val="24"/>
                <w:lang w:bidi="ar"/>
              </w:rPr>
              <w:t>(3)投标人所投综合系统软件具有配套大屏互动系统软件、互动管理系统软件、网络学习空间，</w:t>
            </w:r>
            <w:r>
              <w:rPr>
                <w:rFonts w:hint="eastAsia" w:ascii="宋体" w:hAnsi="宋体" w:eastAsia="宋体" w:cs="宋体"/>
                <w:color w:val="000000"/>
                <w:sz w:val="24"/>
                <w:szCs w:val="24"/>
                <w:highlight w:val="none"/>
                <w:lang w:bidi="ar"/>
              </w:rPr>
              <w:t>提供</w:t>
            </w:r>
            <w:r>
              <w:rPr>
                <w:rFonts w:hint="eastAsia" w:ascii="宋体" w:hAnsi="宋体" w:eastAsia="宋体" w:cs="宋体"/>
                <w:color w:val="000000"/>
                <w:sz w:val="24"/>
                <w:szCs w:val="24"/>
                <w:lang w:bidi="ar"/>
              </w:rPr>
              <w:t>许可软件合法知识产权证明复印件并加盖投标人公章（每提供一个得2分，满分6分）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售后服务（</w:t>
            </w:r>
            <w:r>
              <w:rPr>
                <w:rFonts w:ascii="宋体" w:hAnsi="宋体" w:cs="宋体"/>
                <w:color w:val="000000"/>
                <w:sz w:val="24"/>
                <w:szCs w:val="24"/>
                <w:lang w:bidi="ar"/>
              </w:rPr>
              <w:t>6</w:t>
            </w:r>
            <w:r>
              <w:rPr>
                <w:rFonts w:hint="eastAsia" w:ascii="宋体" w:hAnsi="宋体" w:cs="宋体"/>
                <w:color w:val="000000"/>
                <w:sz w:val="24"/>
                <w:szCs w:val="24"/>
                <w:lang w:bidi="ar"/>
              </w:rPr>
              <w:t>分）</w:t>
            </w:r>
          </w:p>
        </w:tc>
        <w:tc>
          <w:tcPr>
            <w:tcW w:w="8079" w:type="dxa"/>
            <w:tcBorders>
              <w:top w:val="single" w:color="auto" w:sz="4" w:space="0"/>
              <w:left w:val="single" w:color="auto" w:sz="4" w:space="0"/>
              <w:bottom w:val="single" w:color="auto" w:sz="4" w:space="0"/>
              <w:right w:val="single" w:color="auto" w:sz="4" w:space="0"/>
            </w:tcBorders>
          </w:tcPr>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一、售后服务方案：2分</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根据投标人提供的售后服务方案进行评分，包括日常维护、故障解决方案、售后服务体系、服务范围、售后服务电话、响应时间、应急处理方案等。根据措施内容完整性、详细程度、针对性、可行性等进行综合评价，内容完整详细、针对性强、可行性高的得2分，内容较完整详细、针对性较强、可行性较高的得1.5分，内容较完整、针对性和可行性一般的得1分，不合理或未提供不得分。</w:t>
            </w:r>
          </w:p>
          <w:p>
            <w:pPr>
              <w:pStyle w:val="19"/>
              <w:spacing w:after="0" w:line="240" w:lineRule="auto"/>
              <w:ind w:left="0" w:leftChars="0" w:firstLine="0" w:firstLineChars="0"/>
              <w:jc w:val="left"/>
              <w:rPr>
                <w:rFonts w:ascii="宋体" w:hAnsi="宋体" w:eastAsia="宋体" w:cs="宋体"/>
                <w:color w:val="000000"/>
                <w:sz w:val="24"/>
                <w:szCs w:val="24"/>
                <w:lang w:bidi="ar"/>
              </w:rPr>
            </w:pPr>
            <w:r>
              <w:rPr>
                <w:rFonts w:hint="eastAsia" w:ascii="宋体" w:hAnsi="宋体" w:eastAsia="宋体" w:cs="宋体"/>
                <w:color w:val="000000"/>
                <w:sz w:val="24"/>
                <w:szCs w:val="24"/>
                <w:lang w:bidi="ar"/>
              </w:rPr>
              <w:t>二、质保服务：2分</w:t>
            </w:r>
          </w:p>
          <w:p>
            <w:pPr>
              <w:pStyle w:val="19"/>
              <w:spacing w:after="0" w:line="240" w:lineRule="auto"/>
              <w:ind w:left="0" w:leftChars="0" w:firstLine="0" w:firstLineChars="0"/>
              <w:jc w:val="left"/>
              <w:rPr>
                <w:rFonts w:ascii="宋体" w:hAnsi="宋体" w:eastAsia="宋体" w:cs="宋体"/>
                <w:color w:val="000000"/>
                <w:sz w:val="24"/>
                <w:szCs w:val="24"/>
                <w:lang w:bidi="ar"/>
              </w:rPr>
            </w:pPr>
            <w:r>
              <w:rPr>
                <w:rFonts w:hint="eastAsia" w:ascii="宋体" w:hAnsi="宋体" w:eastAsia="宋体" w:cs="宋体"/>
                <w:color w:val="000000"/>
                <w:sz w:val="24"/>
                <w:szCs w:val="24"/>
                <w:lang w:bidi="ar"/>
              </w:rPr>
              <w:t>整体免费质保、免费升级期限不低于3年，否则为无效投标，质保期承诺在招标文件要求的质保期基础上每增加1年加1分，最多加2分。</w:t>
            </w:r>
          </w:p>
          <w:p>
            <w:pPr>
              <w:pStyle w:val="19"/>
              <w:spacing w:after="0" w:line="240" w:lineRule="auto"/>
              <w:ind w:left="0" w:leftChars="0" w:firstLine="0" w:firstLineChars="0"/>
              <w:jc w:val="left"/>
              <w:rPr>
                <w:rFonts w:ascii="宋体" w:hAnsi="宋体" w:eastAsia="宋体" w:cs="宋体"/>
                <w:color w:val="000000"/>
                <w:sz w:val="24"/>
                <w:szCs w:val="24"/>
                <w:lang w:bidi="ar"/>
              </w:rPr>
            </w:pPr>
            <w:r>
              <w:rPr>
                <w:rFonts w:hint="eastAsia" w:ascii="宋体" w:hAnsi="宋体" w:eastAsia="宋体" w:cs="宋体"/>
                <w:color w:val="000000"/>
                <w:sz w:val="24"/>
                <w:szCs w:val="24"/>
                <w:lang w:bidi="ar"/>
              </w:rPr>
              <w:t>三、培训方案：2分</w:t>
            </w:r>
          </w:p>
          <w:p>
            <w:pPr>
              <w:pStyle w:val="19"/>
              <w:spacing w:after="0" w:line="240" w:lineRule="auto"/>
              <w:ind w:left="0" w:leftChars="0" w:firstLine="0" w:firstLineChars="0"/>
              <w:jc w:val="left"/>
              <w:rPr>
                <w:lang w:bidi="ar"/>
              </w:rPr>
            </w:pPr>
            <w:r>
              <w:rPr>
                <w:rFonts w:hint="eastAsia" w:ascii="宋体" w:hAnsi="宋体" w:eastAsia="宋体" w:cs="宋体"/>
                <w:color w:val="000000"/>
                <w:sz w:val="24"/>
                <w:szCs w:val="24"/>
                <w:lang w:bidi="ar"/>
              </w:rPr>
              <w:t>根据投标人提供的培训方案进行评分，包括：培训人员数量；培训时间与次数；培训课程全面性与合理性；培训团队实力；培训计划完整性与合理性等。优秀得2分，良好得1分，差不得分。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总分</w:t>
            </w:r>
          </w:p>
        </w:tc>
        <w:tc>
          <w:tcPr>
            <w:tcW w:w="8079" w:type="dxa"/>
            <w:tcBorders>
              <w:top w:val="single" w:color="auto" w:sz="4" w:space="0"/>
              <w:left w:val="single" w:color="auto" w:sz="4" w:space="0"/>
              <w:bottom w:val="single" w:color="auto" w:sz="4" w:space="0"/>
              <w:right w:val="single" w:color="auto" w:sz="4" w:space="0"/>
            </w:tcBorders>
            <w:vAlign w:val="center"/>
          </w:tcPr>
          <w:p>
            <w:pPr>
              <w:jc w:val="center"/>
              <w:textAlignment w:val="top"/>
              <w:rPr>
                <w:rFonts w:ascii="宋体" w:hAnsi="宋体" w:cs="宋体"/>
                <w:color w:val="000000"/>
                <w:sz w:val="24"/>
                <w:szCs w:val="24"/>
                <w:lang w:bidi="ar"/>
              </w:rPr>
            </w:pPr>
            <w:r>
              <w:rPr>
                <w:rFonts w:hint="eastAsia" w:ascii="宋体" w:hAnsi="宋体" w:cs="宋体"/>
                <w:color w:val="000000"/>
                <w:sz w:val="24"/>
                <w:szCs w:val="24"/>
                <w:lang w:bidi="ar"/>
              </w:rPr>
              <w:t>1</w:t>
            </w:r>
            <w:r>
              <w:rPr>
                <w:rFonts w:ascii="宋体" w:hAnsi="宋体" w:cs="宋体"/>
                <w:color w:val="000000"/>
                <w:sz w:val="24"/>
                <w:szCs w:val="24"/>
                <w:lang w:bidi="ar"/>
              </w:rPr>
              <w:t>00</w:t>
            </w:r>
            <w:r>
              <w:rPr>
                <w:rFonts w:hint="eastAsia" w:ascii="宋体" w:hAnsi="宋体" w:cs="宋体"/>
                <w:color w:val="000000"/>
                <w:sz w:val="24"/>
                <w:szCs w:val="24"/>
                <w:lang w:bidi="ar"/>
              </w:rPr>
              <w:t>分</w:t>
            </w:r>
          </w:p>
        </w:tc>
      </w:tr>
    </w:tbl>
    <w:p>
      <w:pPr>
        <w:spacing w:line="360" w:lineRule="auto"/>
        <w:ind w:firstLine="480" w:firstLineChars="200"/>
        <w:outlineLvl w:val="1"/>
        <w:rPr>
          <w:b/>
          <w:bCs/>
          <w:sz w:val="24"/>
          <w:szCs w:val="24"/>
        </w:rPr>
      </w:pPr>
      <w:r>
        <w:rPr>
          <w:rFonts w:hint="eastAsia"/>
          <w:b/>
          <w:bCs/>
          <w:sz w:val="24"/>
          <w:szCs w:val="24"/>
        </w:rPr>
        <w:t>九、评标程序</w:t>
      </w:r>
    </w:p>
    <w:p>
      <w:pPr>
        <w:spacing w:line="440" w:lineRule="exact"/>
        <w:ind w:firstLine="480" w:firstLineChars="200"/>
        <w:rPr>
          <w:rFonts w:ascii="宋体" w:hAnsi="宋体" w:cs="宋体"/>
          <w:sz w:val="24"/>
          <w:szCs w:val="24"/>
        </w:rPr>
      </w:pPr>
      <w:r>
        <w:rPr>
          <w:rFonts w:hint="eastAsia" w:ascii="宋体" w:hAnsi="宋体" w:cs="宋体"/>
          <w:sz w:val="24"/>
          <w:szCs w:val="24"/>
          <w:lang w:val="zh-CN"/>
        </w:rPr>
        <w:t>评标工作由采购代理机构负责组织，具体评标事务由依法组建的评标委员会（以下简称评委会）负责。</w:t>
      </w:r>
      <w:r>
        <w:rPr>
          <w:rFonts w:hint="eastAsia" w:ascii="宋体" w:hAnsi="宋体" w:cs="宋体"/>
          <w:sz w:val="24"/>
          <w:szCs w:val="24"/>
        </w:rPr>
        <w:t>1.投标文件的资格审查</w:t>
      </w:r>
    </w:p>
    <w:p>
      <w:pPr>
        <w:spacing w:line="440" w:lineRule="exact"/>
        <w:ind w:firstLine="480" w:firstLineChars="200"/>
        <w:rPr>
          <w:rFonts w:ascii="宋体" w:hAnsi="宋体" w:cs="宋体"/>
          <w:sz w:val="24"/>
          <w:szCs w:val="24"/>
        </w:rPr>
      </w:pPr>
      <w:r>
        <w:rPr>
          <w:rFonts w:hint="eastAsia" w:ascii="宋体" w:hAnsi="宋体" w:cs="宋体"/>
          <w:sz w:val="24"/>
          <w:szCs w:val="24"/>
          <w:lang w:val="zh-CN"/>
        </w:rPr>
        <w:t>依据法律法规和招标文件的规定，采购人组织对投标文件中的资格证明文件等进行审查，以确定投标供人是否具备投标资格。不符合招标文件规定的资格要求的投标文件，将作为无效投标处理。</w:t>
      </w:r>
    </w:p>
    <w:p>
      <w:pPr>
        <w:spacing w:line="440" w:lineRule="exact"/>
        <w:ind w:firstLine="480" w:firstLineChars="200"/>
        <w:rPr>
          <w:rFonts w:ascii="宋体" w:hAnsi="宋体" w:cs="宋体"/>
          <w:sz w:val="24"/>
          <w:szCs w:val="24"/>
        </w:rPr>
      </w:pPr>
      <w:r>
        <w:rPr>
          <w:rFonts w:hint="eastAsia" w:ascii="宋体" w:hAnsi="宋体" w:cs="宋体"/>
          <w:sz w:val="24"/>
          <w:szCs w:val="24"/>
        </w:rPr>
        <w:t>2.投标文件的符合性审查</w:t>
      </w:r>
    </w:p>
    <w:p>
      <w:pPr>
        <w:spacing w:line="440" w:lineRule="exact"/>
        <w:ind w:firstLine="480" w:firstLineChars="200"/>
        <w:rPr>
          <w:rFonts w:ascii="宋体" w:hAnsi="宋体" w:cs="宋体"/>
          <w:sz w:val="24"/>
          <w:szCs w:val="24"/>
          <w:lang w:val="zh-CN"/>
        </w:rPr>
      </w:pPr>
      <w:r>
        <w:rPr>
          <w:rFonts w:hint="eastAsia" w:ascii="宋体" w:hAnsi="宋体" w:cs="宋体"/>
          <w:sz w:val="24"/>
          <w:szCs w:val="24"/>
          <w:lang w:val="zh-CN"/>
        </w:rPr>
        <w:t>2.1评委会将依据法律法规和招标文件的规定，对投标文件的有效性、完整性和对招标文件的响应程度进行审查，以确定是否对招标文件的实质性要求作出响应。实质性要求是指本招标文件中用带星号（“★”）的商务和技术要求。如果投标文件实质上没有响应招标文件的要求，评委会可作无效投标处理。</w:t>
      </w:r>
    </w:p>
    <w:p>
      <w:pPr>
        <w:spacing w:line="440" w:lineRule="exact"/>
        <w:ind w:firstLine="480" w:firstLineChars="200"/>
        <w:rPr>
          <w:rFonts w:ascii="宋体" w:hAnsi="宋体" w:cs="宋体"/>
          <w:sz w:val="24"/>
          <w:szCs w:val="24"/>
          <w:lang w:val="zh-CN"/>
        </w:rPr>
      </w:pPr>
      <w:r>
        <w:rPr>
          <w:rFonts w:hint="eastAsia" w:ascii="宋体" w:hAnsi="宋体" w:cs="宋体"/>
          <w:sz w:val="24"/>
          <w:szCs w:val="24"/>
          <w:lang w:val="zh-CN"/>
        </w:rPr>
        <w:t>2.2投标人及其投标文件有下列情况之一的，在符合性审查时按照无效投标处理:</w:t>
      </w:r>
    </w:p>
    <w:p>
      <w:pPr>
        <w:spacing w:line="440" w:lineRule="exact"/>
        <w:ind w:firstLine="561"/>
        <w:jc w:val="left"/>
        <w:rPr>
          <w:rFonts w:ascii="宋体" w:hAnsi="宋体" w:cs="宋体"/>
          <w:sz w:val="24"/>
          <w:szCs w:val="24"/>
        </w:rPr>
      </w:pPr>
      <w:r>
        <w:rPr>
          <w:rFonts w:hint="eastAsia" w:ascii="宋体" w:hAnsi="宋体" w:cs="宋体"/>
          <w:sz w:val="24"/>
          <w:szCs w:val="24"/>
        </w:rPr>
        <w:t>（1）未按照招标文件规定要求签署、盖章的；</w:t>
      </w:r>
    </w:p>
    <w:p>
      <w:pPr>
        <w:spacing w:line="440" w:lineRule="exact"/>
        <w:ind w:firstLine="561"/>
        <w:jc w:val="left"/>
        <w:rPr>
          <w:rFonts w:ascii="宋体" w:hAnsi="宋体" w:cs="宋体"/>
          <w:sz w:val="24"/>
          <w:szCs w:val="24"/>
        </w:rPr>
      </w:pPr>
      <w:r>
        <w:rPr>
          <w:rFonts w:hint="eastAsia" w:ascii="宋体" w:hAnsi="宋体" w:cs="宋体"/>
          <w:sz w:val="24"/>
          <w:szCs w:val="24"/>
        </w:rPr>
        <w:t>（2）投标总价超出招标文件规定的预算金额或者最高限价的；</w:t>
      </w:r>
    </w:p>
    <w:p>
      <w:pPr>
        <w:spacing w:line="440" w:lineRule="exact"/>
        <w:ind w:firstLine="561"/>
        <w:jc w:val="left"/>
        <w:rPr>
          <w:rFonts w:ascii="宋体" w:hAnsi="宋体" w:cs="宋体"/>
          <w:sz w:val="24"/>
          <w:szCs w:val="24"/>
        </w:rPr>
      </w:pPr>
      <w:r>
        <w:rPr>
          <w:rFonts w:hint="eastAsia" w:ascii="宋体" w:hAnsi="宋体" w:cs="宋体"/>
          <w:sz w:val="24"/>
          <w:szCs w:val="24"/>
        </w:rPr>
        <w:t>（3）不同投标人的投标文件由同一单位或者个人编制；</w:t>
      </w:r>
    </w:p>
    <w:p>
      <w:pPr>
        <w:spacing w:line="440" w:lineRule="exact"/>
        <w:ind w:firstLine="561"/>
        <w:jc w:val="left"/>
        <w:rPr>
          <w:rFonts w:ascii="宋体" w:hAnsi="宋体" w:cs="宋体"/>
          <w:sz w:val="24"/>
          <w:szCs w:val="24"/>
        </w:rPr>
      </w:pPr>
      <w:r>
        <w:rPr>
          <w:rFonts w:hint="eastAsia" w:ascii="宋体" w:hAnsi="宋体" w:cs="宋体"/>
          <w:sz w:val="24"/>
          <w:szCs w:val="24"/>
        </w:rPr>
        <w:t>（4）不同投标人委托同一单位或者个人办理投标事宜；</w:t>
      </w:r>
    </w:p>
    <w:p>
      <w:pPr>
        <w:spacing w:line="440" w:lineRule="exact"/>
        <w:ind w:firstLine="561"/>
        <w:jc w:val="left"/>
        <w:rPr>
          <w:rFonts w:ascii="宋体" w:hAnsi="宋体" w:cs="宋体"/>
          <w:sz w:val="24"/>
          <w:szCs w:val="24"/>
        </w:rPr>
      </w:pPr>
      <w:r>
        <w:rPr>
          <w:rFonts w:hint="eastAsia" w:ascii="宋体" w:hAnsi="宋体" w:cs="宋体"/>
          <w:sz w:val="24"/>
          <w:szCs w:val="24"/>
        </w:rPr>
        <w:t>（5）不同投标人的投标文件载明的项目管理成员或者联系人员为同一人；</w:t>
      </w:r>
    </w:p>
    <w:p>
      <w:pPr>
        <w:spacing w:line="440" w:lineRule="exact"/>
        <w:ind w:firstLine="561"/>
        <w:jc w:val="left"/>
        <w:rPr>
          <w:rFonts w:ascii="宋体" w:hAnsi="宋体" w:cs="宋体"/>
          <w:sz w:val="24"/>
          <w:szCs w:val="24"/>
        </w:rPr>
      </w:pPr>
      <w:r>
        <w:rPr>
          <w:rFonts w:hint="eastAsia" w:ascii="宋体" w:hAnsi="宋体" w:cs="宋体"/>
          <w:sz w:val="24"/>
          <w:szCs w:val="24"/>
        </w:rPr>
        <w:t>（6）不同投标人的投标文件异常一致或者投标报价呈规律性差异；</w:t>
      </w:r>
    </w:p>
    <w:p>
      <w:pPr>
        <w:spacing w:line="440" w:lineRule="exact"/>
        <w:ind w:firstLine="561"/>
        <w:jc w:val="left"/>
        <w:rPr>
          <w:rFonts w:ascii="宋体" w:hAnsi="宋体" w:cs="宋体"/>
          <w:sz w:val="24"/>
          <w:szCs w:val="24"/>
        </w:rPr>
      </w:pPr>
      <w:r>
        <w:rPr>
          <w:rFonts w:hint="eastAsia" w:ascii="宋体" w:hAnsi="宋体" w:cs="宋体"/>
          <w:sz w:val="24"/>
          <w:szCs w:val="24"/>
        </w:rPr>
        <w:t>（7）不同投标人的投标文件相互混装；</w:t>
      </w:r>
    </w:p>
    <w:p>
      <w:pPr>
        <w:spacing w:line="440" w:lineRule="exact"/>
        <w:ind w:firstLine="561"/>
        <w:jc w:val="left"/>
        <w:rPr>
          <w:rFonts w:ascii="宋体" w:hAnsi="宋体" w:cs="宋体"/>
          <w:sz w:val="24"/>
          <w:szCs w:val="24"/>
        </w:rPr>
      </w:pPr>
      <w:r>
        <w:rPr>
          <w:rFonts w:hint="eastAsia" w:ascii="宋体" w:hAnsi="宋体" w:cs="宋体"/>
          <w:sz w:val="24"/>
          <w:szCs w:val="24"/>
        </w:rPr>
        <w:t>（8）投标文件含有采购人不能接受的附加条件的，或有损害采购人利益的规定的；</w:t>
      </w:r>
    </w:p>
    <w:p>
      <w:pPr>
        <w:spacing w:line="440" w:lineRule="exact"/>
        <w:ind w:firstLine="561"/>
        <w:jc w:val="left"/>
        <w:rPr>
          <w:rFonts w:ascii="宋体" w:hAnsi="宋体" w:cs="宋体"/>
          <w:sz w:val="24"/>
          <w:szCs w:val="24"/>
        </w:rPr>
      </w:pPr>
      <w:r>
        <w:rPr>
          <w:rFonts w:hint="eastAsia" w:ascii="宋体" w:hAnsi="宋体" w:cs="宋体"/>
          <w:sz w:val="24"/>
          <w:szCs w:val="24"/>
        </w:rPr>
        <w:t>（9）评委会认为投标人的报价明显低于其他通过符合性审查投标人的报价，有可能影响产品质量或者不能诚信履约的，未在评标现场合理的时间内提供书面说明或相关证明材料，不能证明其报价合理的；</w:t>
      </w:r>
    </w:p>
    <w:p>
      <w:pPr>
        <w:spacing w:line="440" w:lineRule="exact"/>
        <w:ind w:firstLine="561"/>
        <w:jc w:val="left"/>
        <w:rPr>
          <w:rFonts w:ascii="宋体" w:hAnsi="宋体" w:cs="宋体"/>
          <w:sz w:val="24"/>
          <w:szCs w:val="24"/>
        </w:rPr>
      </w:pPr>
      <w:r>
        <w:rPr>
          <w:rFonts w:hint="eastAsia" w:ascii="宋体" w:hAnsi="宋体" w:cs="宋体"/>
          <w:sz w:val="24"/>
          <w:szCs w:val="24"/>
        </w:rPr>
        <w:t>（10）在一份投标文件中对同一招标项目报有两个及以上报价，且未声明哪一个有效的，但按招标文件规定提交备选投标方案的除外；</w:t>
      </w:r>
    </w:p>
    <w:p>
      <w:pPr>
        <w:spacing w:line="440" w:lineRule="exact"/>
        <w:ind w:firstLine="561"/>
        <w:jc w:val="left"/>
        <w:rPr>
          <w:rFonts w:ascii="宋体" w:hAnsi="宋体" w:cs="宋体"/>
          <w:sz w:val="24"/>
          <w:szCs w:val="24"/>
        </w:rPr>
      </w:pPr>
      <w:r>
        <w:rPr>
          <w:rFonts w:hint="eastAsia" w:ascii="宋体" w:hAnsi="宋体" w:cs="宋体"/>
          <w:sz w:val="24"/>
          <w:szCs w:val="24"/>
        </w:rPr>
        <w:t>（11）重要内容或关键字迹模糊不清无法辨认的；</w:t>
      </w:r>
    </w:p>
    <w:p>
      <w:pPr>
        <w:spacing w:line="440" w:lineRule="exact"/>
        <w:ind w:firstLine="561"/>
        <w:jc w:val="left"/>
        <w:rPr>
          <w:rFonts w:ascii="宋体" w:hAnsi="宋体" w:cs="宋体"/>
          <w:sz w:val="24"/>
          <w:szCs w:val="24"/>
        </w:rPr>
      </w:pPr>
      <w:r>
        <w:rPr>
          <w:rFonts w:hint="eastAsia" w:ascii="宋体" w:hAnsi="宋体" w:cs="宋体"/>
          <w:sz w:val="24"/>
          <w:szCs w:val="24"/>
        </w:rPr>
        <w:t>（12）投标有效期不足的；</w:t>
      </w:r>
    </w:p>
    <w:p>
      <w:pPr>
        <w:spacing w:line="440" w:lineRule="exact"/>
        <w:ind w:firstLine="561"/>
        <w:jc w:val="left"/>
        <w:rPr>
          <w:rFonts w:ascii="宋体" w:hAnsi="宋体" w:cs="宋体"/>
          <w:sz w:val="24"/>
          <w:szCs w:val="24"/>
        </w:rPr>
      </w:pPr>
      <w:r>
        <w:rPr>
          <w:rFonts w:hint="eastAsia" w:ascii="宋体" w:hAnsi="宋体" w:cs="宋体"/>
          <w:sz w:val="24"/>
          <w:szCs w:val="24"/>
        </w:rPr>
        <w:t>（13）以他人的名义投标、串通投标、以行贿手段谋取中标或者以其他弄虚作假方式投标的，故意哄抬价格或压价等其它恶意串通投标的；</w:t>
      </w:r>
    </w:p>
    <w:p>
      <w:pPr>
        <w:spacing w:line="440" w:lineRule="exact"/>
        <w:ind w:firstLine="561"/>
        <w:jc w:val="left"/>
        <w:rPr>
          <w:rFonts w:ascii="宋体" w:hAnsi="宋体" w:cs="宋体"/>
          <w:sz w:val="24"/>
          <w:szCs w:val="24"/>
        </w:rPr>
      </w:pPr>
      <w:r>
        <w:rPr>
          <w:rFonts w:hint="eastAsia" w:ascii="宋体" w:hAnsi="宋体" w:cs="宋体"/>
          <w:sz w:val="24"/>
          <w:szCs w:val="24"/>
        </w:rPr>
        <w:t>（14）不符合招标文件中规定的其他实质性要求和条件的；</w:t>
      </w:r>
    </w:p>
    <w:p>
      <w:pPr>
        <w:spacing w:line="430" w:lineRule="exact"/>
        <w:ind w:firstLine="561"/>
        <w:jc w:val="left"/>
        <w:rPr>
          <w:rFonts w:ascii="宋体" w:hAnsi="宋体" w:cs="宋体"/>
          <w:sz w:val="24"/>
          <w:szCs w:val="24"/>
        </w:rPr>
      </w:pPr>
      <w:r>
        <w:rPr>
          <w:rFonts w:hint="eastAsia" w:ascii="宋体" w:hAnsi="宋体" w:cs="宋体"/>
          <w:sz w:val="24"/>
          <w:szCs w:val="24"/>
        </w:rPr>
        <w:t>（15）不符合法律、法规规定的其他无效情形，以及招标文件规定的其他无效情形；</w:t>
      </w:r>
    </w:p>
    <w:p>
      <w:pPr>
        <w:spacing w:line="520" w:lineRule="exact"/>
        <w:ind w:firstLine="561"/>
        <w:jc w:val="left"/>
        <w:rPr>
          <w:rFonts w:ascii="宋体" w:hAnsi="宋体" w:cs="宋体"/>
          <w:sz w:val="24"/>
          <w:szCs w:val="24"/>
        </w:rPr>
      </w:pPr>
      <w:r>
        <w:rPr>
          <w:rFonts w:hint="eastAsia" w:ascii="宋体" w:hAnsi="宋体" w:cs="宋体"/>
          <w:sz w:val="24"/>
          <w:szCs w:val="24"/>
        </w:rPr>
        <w:t>（16）项目报价超过限价的；</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2.3有下列情形之一的可予以废标：</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（1）出现影响采购公正的违法、违规行为的；</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（2）因重要变故，采购任务取消的；</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（3）其他法律、法规、学校规章制度规定可以为废标的。</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3.投标文件的投标报价审查</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评委会将对确定为实质性响应的投标进行进一步审核，看其是否有计算上或累加上的算术错误，修正错误的原则: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4.投标文件的澄清</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5.评审及中标</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5.1评委会将对通过资格性审查和符合性审查的投标文件进行评价和比较。评委会按招标文件中公布的评标标准对每份合格投标文件进行评审，确定中标供应商，任何单项因素的最优不能作为中标的保证。</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5.2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5.3评委会根据招标文件中规定的评标标准对投标人进行综合评审，最终按综合评审得分由高到低的顺序推荐出中标候选人。采购人根据评委会推荐的中标候选人确认中标人。</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十、定标与签约</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1.招标项目评审结果确定后，采购人将在招标公告发布的网站第一时间公示评审结果，公示时间为1个工作日，请注意及时查询，对其它未中标人将不单独通知，未中标的原因不进行解释。</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2.中标候选人出现下列情况之一的，一经查实，将被取消中标资格：</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（1）提供虚假材料谋取中标的；</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（2）与评审专家、采购人、其他供应商或者招投标工作人员恶意串通的；</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（3）向评审专家、采购人或招投标工作人员行贿或者提供其它不正当利益的；</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（4）恶意竞争，投标总报价明显低于其自身合理成本且又无法提供证明的；</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（5）不满足本招标文件规定的实质性要求，但在评标过程中又未被评委发现的；</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（6）不符合法律、法规的规定的其它情形。</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在此情况下一经认定，采购人有权取消中标资格、列入学校采购不诚信企业名单、两年内不得参与学校所有采购项目等处罚。采购人有权重新组织采购或递补中标候选人。</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3.质疑处理</w:t>
      </w:r>
    </w:p>
    <w:p>
      <w:pPr>
        <w:shd w:val="clear" w:color="auto" w:fill="FFFFFF"/>
        <w:spacing w:line="440" w:lineRule="exact"/>
        <w:ind w:firstLine="435"/>
        <w:rPr>
          <w:rFonts w:ascii="宋体" w:hAnsi="宋体" w:cs="宋体"/>
          <w:sz w:val="24"/>
          <w:szCs w:val="24"/>
        </w:rPr>
      </w:pPr>
      <w:r>
        <w:rPr>
          <w:rFonts w:hint="eastAsia" w:ascii="宋体" w:hAnsi="宋体" w:cs="宋体"/>
          <w:sz w:val="24"/>
          <w:szCs w:val="24"/>
        </w:rPr>
        <w:t>3.1供应商认为采购文件、采购过程、中标或者成交结果使自己的权益受到损害的，可以在知道或者应知其权益受到损害之日起7个工作日内，以书面形式一次性向采购代理机构提出质疑（联系人：魏工，联系电话：17314155563，联系地址：江苏省淮安软件园10号楼2楼；在递送书面文件的同时请投标人将电子文档发送至电子邮箱384344099@qq.com）。非书面形式、7工作日之外提交以及匿名的质疑将不予受理。质疑函应当包括下列内容：供应商的姓名或者名称、地址、邮编、联系人及联系电话；质疑项目的名称、编号；具体、明确的质疑事项和与质疑事项相关的请求；事实依据；必要的法律依据；提出质疑的日期及单位公章等。</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3.2质疑必须以参加投标的供应商法人代表或授权代表（投标文件中所确定的）书面送达的方式提交，未按上述要求提交的质疑函，采购人有权不予受理。</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3.3未参加投标的供应商或在投标活动中本身权益未受到损害或从投标活动中受益的供应商所提出的质疑也不予受理。</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3.4投标人提出书面质疑必须有理、有据，不得恶意质疑或提交虚假质疑。否则，采购人将不予受理。</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3.5采购人将在收到投标供应商的书面质疑后将在规定时间内作出答复，但答复的内容不涉及商业秘密。</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4.评审结果公示期满，中标人在七个工作日内来淮阴工学院领取中标通知书，并在十五日内与采购人签订合同。若发生中标商未按规定时间领取中标通知书或未按规定时间签订合同，采购人将视该中标商放弃此次中标权，采购人有权取消中标资格并列入学校采购不诚信企业名单，两年内不得参与学校所有采购项目。采购人有权将中标资格授予排名第二的投标人或重新组织招标。</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5.履约保证金</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5.1为保证合同的顺利执行，中标人须在签订合同前向淮阴工学院交纳20000元的履约保证金（银行开户名：淮阴工学院；开户行：淮安市建行中北支行；银行帐号：32001724236051451171）。中标人未能履行合同规定的义务，采购人有权从履约保证金中取得补偿。</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5.2履约保证金在项目验收合格后无息退还。中标人凭采购人签署的同意退还履约保证金的证明（格式详见招标文件第四章《履约保证金退还申请》），到淮阴工学院计划财务处办理保证金退还手续。</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6.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7.投标人中标后，采购人发现其投标文件中有与招标文件相抵触之处、或投标文件中附有超出有关规定的条款，则仍以招标文件为准或以采购人解释为准。若投标人仍拒绝接受招标文件的规定或采购人的解释，采购人将解除对投标人做出的一切决定，由此造成的一切损失均由投标人承担。</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8.货物和服务的追加和减少</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8.1采购合同履行中，需追加与合同标的相同的货物和服务的，在不改变价格水平、合同及其它条款的前提下，采购人可以与中标人协商签订补充合同，追加量不得超过合同总额的10%。</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8.2采购结束后，采购人若由于各种客观原因，必须对采购项目所牵涉的货物和服务进行适当的减少时，在双方协商一致的前提下，可以按照中标时价格水平做相应的调减，并据此签订补充合同。</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9.投标人须对其所提供资料的真实性和投标行为的合法性负责，如有作假或违纪，一经发现立即取消投标（中标）资格，没收履约保证金，列入学校采购不诚信企业名单，两年内不得参与学校所有采购项目，同时可在网上进行实名通报，乃至向省市政府采购主管部门报告相关供应商的不诚信行为。</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十一、本次招标工作接受淮阴工学院纪委机关监督，各投标人如对采购人招标工作的公正性有异议，可向采购人纪委机关投诉，投诉电话：0517-83559156、83591013。</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十二、本招标文件解释权归淮阴工学院。本招标文件可能会有改动，请在投标前仔细上网核查，恕不单独通知。</w:t>
      </w:r>
    </w:p>
    <w:p>
      <w:pPr>
        <w:shd w:val="clear" w:color="auto" w:fill="FFFFFF"/>
        <w:spacing w:line="420" w:lineRule="exact"/>
        <w:ind w:firstLine="440"/>
        <w:rPr>
          <w:rFonts w:ascii="宋体" w:hAnsi="宋体" w:cs="宋体"/>
          <w:sz w:val="24"/>
          <w:szCs w:val="24"/>
        </w:rPr>
      </w:pPr>
      <w:r>
        <w:rPr>
          <w:rFonts w:hint="eastAsia" w:ascii="宋体" w:hAnsi="宋体" w:cs="宋体"/>
          <w:sz w:val="24"/>
          <w:szCs w:val="24"/>
        </w:rPr>
        <w:t>十三、联系方式</w:t>
      </w:r>
    </w:p>
    <w:p>
      <w:pPr>
        <w:spacing w:line="420" w:lineRule="exact"/>
        <w:ind w:firstLine="480" w:firstLineChars="200"/>
        <w:rPr>
          <w:rFonts w:ascii="宋体" w:hAnsi="宋体" w:cs="宋体"/>
          <w:sz w:val="24"/>
          <w:szCs w:val="24"/>
        </w:rPr>
      </w:pPr>
      <w:r>
        <w:rPr>
          <w:rFonts w:hint="eastAsia"/>
          <w:sz w:val="24"/>
        </w:rPr>
        <w:t>淮阴工学院采购人</w:t>
      </w:r>
      <w:r>
        <w:rPr>
          <w:rFonts w:hint="eastAsia" w:ascii="宋体" w:hAnsi="宋体" w:cs="宋体"/>
          <w:sz w:val="24"/>
          <w:szCs w:val="24"/>
        </w:rPr>
        <w:t>：张老师，联系电话：</w:t>
      </w:r>
      <w:r>
        <w:rPr>
          <w:rFonts w:ascii="宋体" w:hAnsi="宋体" w:cs="宋体"/>
          <w:sz w:val="24"/>
          <w:szCs w:val="24"/>
        </w:rPr>
        <w:t>15996177241</w:t>
      </w:r>
      <w:r>
        <w:rPr>
          <w:rFonts w:hint="eastAsia" w:ascii="宋体" w:hAnsi="宋体" w:cs="宋体"/>
          <w:sz w:val="24"/>
          <w:szCs w:val="24"/>
        </w:rPr>
        <w:t>；</w:t>
      </w:r>
    </w:p>
    <w:p>
      <w:pPr>
        <w:widowControl w:val="0"/>
        <w:spacing w:line="420" w:lineRule="exact"/>
        <w:ind w:firstLine="480" w:firstLineChars="200"/>
        <w:rPr>
          <w:rFonts w:ascii="宋体" w:hAnsi="宋体" w:cs="宋体"/>
          <w:kern w:val="2"/>
          <w:sz w:val="24"/>
          <w:szCs w:val="24"/>
        </w:rPr>
      </w:pPr>
      <w:r>
        <w:rPr>
          <w:rFonts w:hint="eastAsia" w:ascii="宋体" w:hAnsi="宋体" w:cs="宋体"/>
          <w:kern w:val="2"/>
          <w:sz w:val="24"/>
          <w:szCs w:val="24"/>
        </w:rPr>
        <w:t>淮阴工学院招标办联系人：王老师、陆老师，联系电话：0517-83559069；</w:t>
      </w:r>
    </w:p>
    <w:p>
      <w:pPr>
        <w:spacing w:line="420" w:lineRule="exact"/>
        <w:ind w:firstLine="480" w:firstLineChars="200"/>
        <w:rPr>
          <w:sz w:val="24"/>
        </w:rPr>
      </w:pPr>
      <w:r>
        <w:rPr>
          <w:rFonts w:hint="eastAsia"/>
          <w:sz w:val="24"/>
        </w:rPr>
        <w:t>代理机构：</w:t>
      </w:r>
      <w:r>
        <w:rPr>
          <w:rFonts w:hint="eastAsia" w:ascii="宋体" w:hAnsi="宋体"/>
          <w:sz w:val="24"/>
          <w:szCs w:val="24"/>
        </w:rPr>
        <w:t>江苏立信建设工程造价咨询有限公司</w:t>
      </w:r>
    </w:p>
    <w:p>
      <w:pPr>
        <w:spacing w:line="420" w:lineRule="exact"/>
        <w:ind w:firstLine="480" w:firstLineChars="200"/>
        <w:rPr>
          <w:sz w:val="24"/>
        </w:rPr>
      </w:pPr>
      <w:r>
        <w:rPr>
          <w:rFonts w:hint="eastAsia"/>
          <w:sz w:val="24"/>
        </w:rPr>
        <w:t>联系人</w:t>
      </w:r>
      <w:r>
        <w:rPr>
          <w:rFonts w:hint="eastAsia" w:ascii="宋体" w:hAnsi="宋体" w:cs="宋体"/>
          <w:sz w:val="24"/>
          <w:szCs w:val="24"/>
        </w:rPr>
        <w:t>：魏工  联系电话：</w:t>
      </w:r>
      <w:r>
        <w:rPr>
          <w:rFonts w:hint="eastAsia" w:ascii="宋体" w:hAnsi="宋体"/>
          <w:sz w:val="24"/>
          <w:szCs w:val="24"/>
        </w:rPr>
        <w:t>17314155563</w:t>
      </w:r>
    </w:p>
    <w:p>
      <w:pPr>
        <w:widowControl w:val="0"/>
        <w:spacing w:line="420" w:lineRule="exact"/>
        <w:ind w:firstLine="480" w:firstLineChars="200"/>
        <w:rPr>
          <w:rFonts w:ascii="宋体" w:hAnsi="宋体" w:cs="宋体"/>
          <w:kern w:val="2"/>
          <w:sz w:val="24"/>
          <w:szCs w:val="24"/>
        </w:rPr>
      </w:pPr>
      <w:r>
        <w:rPr>
          <w:rFonts w:hint="eastAsia"/>
          <w:sz w:val="24"/>
        </w:rPr>
        <w:t>联系地址：</w:t>
      </w:r>
      <w:r>
        <w:rPr>
          <w:rFonts w:hint="eastAsia" w:ascii="宋体" w:hAnsi="宋体"/>
          <w:sz w:val="24"/>
          <w:szCs w:val="24"/>
        </w:rPr>
        <w:t>江苏省淮安软件园10号楼2楼</w:t>
      </w:r>
    </w:p>
    <w:p>
      <w:pPr>
        <w:widowControl w:val="0"/>
        <w:spacing w:line="360" w:lineRule="auto"/>
        <w:ind w:firstLine="480" w:firstLineChars="200"/>
        <w:rPr>
          <w:rFonts w:ascii="宋体" w:hAnsi="宋体" w:cs="宋体"/>
          <w:kern w:val="2"/>
          <w:sz w:val="24"/>
          <w:szCs w:val="24"/>
        </w:rPr>
      </w:pPr>
    </w:p>
    <w:p>
      <w:pPr>
        <w:widowControl w:val="0"/>
        <w:spacing w:line="360" w:lineRule="auto"/>
        <w:ind w:firstLine="480" w:firstLineChars="200"/>
        <w:rPr>
          <w:rFonts w:ascii="宋体" w:hAnsi="宋体" w:cs="宋体"/>
          <w:kern w:val="2"/>
          <w:sz w:val="24"/>
          <w:szCs w:val="24"/>
        </w:rPr>
      </w:pPr>
    </w:p>
    <w:p>
      <w:pPr>
        <w:wordWrap w:val="0"/>
        <w:spacing w:line="420" w:lineRule="exact"/>
        <w:jc w:val="right"/>
        <w:rPr>
          <w:rFonts w:ascii="宋体" w:hAnsi="宋体" w:cs="宋体"/>
          <w:spacing w:val="15"/>
          <w:sz w:val="24"/>
          <w:szCs w:val="24"/>
        </w:rPr>
      </w:pPr>
      <w:r>
        <w:rPr>
          <w:rFonts w:hint="eastAsia" w:ascii="宋体" w:hAnsi="宋体" w:cs="宋体"/>
          <w:spacing w:val="15"/>
          <w:sz w:val="24"/>
          <w:szCs w:val="24"/>
        </w:rPr>
        <w:t>江苏立信建设工程造价咨询有限公司</w:t>
      </w:r>
    </w:p>
    <w:p>
      <w:pPr>
        <w:wordWrap w:val="0"/>
        <w:spacing w:line="420" w:lineRule="exact"/>
        <w:ind w:firstLine="5805" w:firstLineChars="2150"/>
        <w:jc w:val="right"/>
        <w:rPr>
          <w:rFonts w:ascii="宋体" w:hAnsi="宋体" w:cs="宋体"/>
          <w:spacing w:val="15"/>
          <w:sz w:val="24"/>
          <w:szCs w:val="24"/>
        </w:rPr>
      </w:pPr>
      <w:r>
        <w:rPr>
          <w:rFonts w:hint="eastAsia" w:ascii="宋体" w:hAnsi="宋体" w:cs="宋体"/>
          <w:spacing w:val="15"/>
          <w:sz w:val="24"/>
          <w:szCs w:val="24"/>
        </w:rPr>
        <w:t>淮阴工学院</w:t>
      </w:r>
    </w:p>
    <w:p>
      <w:pPr>
        <w:spacing w:line="440" w:lineRule="exact"/>
        <w:jc w:val="right"/>
        <w:rPr>
          <w:rFonts w:ascii="宋体" w:hAnsi="宋体" w:cs="宋体"/>
          <w:spacing w:val="15"/>
          <w:sz w:val="24"/>
          <w:szCs w:val="24"/>
        </w:rPr>
      </w:pPr>
      <w:r>
        <w:rPr>
          <w:rFonts w:hint="eastAsia" w:ascii="宋体" w:hAnsi="宋体" w:cs="宋体"/>
          <w:spacing w:val="15"/>
          <w:sz w:val="24"/>
          <w:szCs w:val="24"/>
        </w:rPr>
        <w:t>2024年1月</w:t>
      </w:r>
      <w:r>
        <w:rPr>
          <w:rFonts w:hint="eastAsia" w:ascii="宋体" w:hAnsi="宋体" w:cs="宋体"/>
          <w:spacing w:val="15"/>
          <w:sz w:val="24"/>
          <w:szCs w:val="24"/>
          <w:lang w:val="en-US" w:eastAsia="zh-CN"/>
        </w:rPr>
        <w:t>26</w:t>
      </w:r>
      <w:r>
        <w:rPr>
          <w:rFonts w:hint="eastAsia" w:ascii="宋体" w:hAnsi="宋体" w:cs="宋体"/>
          <w:spacing w:val="15"/>
          <w:sz w:val="24"/>
          <w:szCs w:val="24"/>
        </w:rPr>
        <w:t>日</w:t>
      </w:r>
    </w:p>
    <w:p>
      <w:pPr>
        <w:spacing w:line="440" w:lineRule="exact"/>
        <w:jc w:val="center"/>
        <w:outlineLvl w:val="0"/>
        <w:rPr>
          <w:rFonts w:ascii="宋体" w:hAnsi="宋体" w:cs="宋体"/>
          <w:b/>
          <w:bCs/>
          <w:sz w:val="24"/>
          <w:szCs w:val="24"/>
        </w:rPr>
      </w:pPr>
      <w:r>
        <w:rPr>
          <w:rFonts w:hint="eastAsia" w:ascii="宋体" w:hAnsi="宋体" w:cs="宋体"/>
          <w:sz w:val="24"/>
          <w:szCs w:val="24"/>
        </w:rPr>
        <w:br w:type="page"/>
      </w:r>
      <w:bookmarkStart w:id="2" w:name="_Toc14398"/>
      <w:r>
        <w:rPr>
          <w:rFonts w:hint="eastAsia" w:ascii="宋体" w:hAnsi="宋体" w:cs="宋体"/>
          <w:b/>
          <w:bCs/>
          <w:sz w:val="24"/>
          <w:szCs w:val="24"/>
        </w:rPr>
        <w:t>第二章 项目采购需求</w:t>
      </w:r>
      <w:bookmarkEnd w:id="2"/>
    </w:p>
    <w:p>
      <w:pPr>
        <w:pStyle w:val="19"/>
        <w:ind w:firstLine="480"/>
        <w:rPr>
          <w:rFonts w:ascii="宋体" w:hAnsi="宋体" w:eastAsia="宋体" w:cs="宋体"/>
          <w:color w:val="auto"/>
          <w:kern w:val="2"/>
          <w:sz w:val="24"/>
          <w:szCs w:val="24"/>
        </w:rPr>
      </w:pPr>
      <w:r>
        <w:rPr>
          <w:rFonts w:hint="eastAsia" w:ascii="宋体" w:hAnsi="宋体" w:eastAsia="宋体" w:cs="宋体"/>
          <w:color w:val="auto"/>
          <w:kern w:val="2"/>
          <w:sz w:val="24"/>
          <w:szCs w:val="24"/>
        </w:rPr>
        <w:t>本项目位于枚乘路校区正行楼四楼需要完成管控中心及广播级录播教室的建设，此项目为交钥匙项目，投标人负责项目系统的选型、安装、调试、交付、环境改造和培训，在保证先进、实用的基础上，负责本项目的整体交验。即使招标文件中没有明确指定的系统、设备和材料，也须在不增加预算情况下保证项目完整可用。</w:t>
      </w:r>
    </w:p>
    <w:p>
      <w:pPr>
        <w:spacing w:line="360" w:lineRule="auto"/>
        <w:ind w:firstLine="480" w:firstLineChars="200"/>
        <w:outlineLvl w:val="1"/>
        <w:rPr>
          <w:b/>
          <w:bCs/>
          <w:sz w:val="24"/>
          <w:szCs w:val="24"/>
        </w:rPr>
      </w:pPr>
      <w:r>
        <w:rPr>
          <w:rFonts w:hint="eastAsia"/>
          <w:b/>
          <w:bCs/>
          <w:sz w:val="24"/>
          <w:szCs w:val="24"/>
          <w:lang w:val="zh-CN"/>
        </w:rPr>
        <w:t>一、采购清单</w:t>
      </w:r>
      <w:r>
        <w:rPr>
          <w:rFonts w:hint="eastAsia"/>
          <w:b/>
          <w:bCs/>
          <w:sz w:val="24"/>
          <w:szCs w:val="24"/>
        </w:rPr>
        <w:t>及要求</w:t>
      </w:r>
    </w:p>
    <w:tbl>
      <w:tblPr>
        <w:tblStyle w:val="20"/>
        <w:tblW w:w="5000" w:type="pct"/>
        <w:tblInd w:w="0" w:type="dxa"/>
        <w:tblLayout w:type="autofit"/>
        <w:tblCellMar>
          <w:top w:w="0" w:type="dxa"/>
          <w:left w:w="108" w:type="dxa"/>
          <w:bottom w:w="0" w:type="dxa"/>
          <w:right w:w="108" w:type="dxa"/>
        </w:tblCellMar>
      </w:tblPr>
      <w:tblGrid>
        <w:gridCol w:w="1604"/>
        <w:gridCol w:w="5711"/>
        <w:gridCol w:w="1323"/>
        <w:gridCol w:w="1325"/>
      </w:tblGrid>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序号</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产品名称</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数量</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单位</w:t>
            </w:r>
          </w:p>
        </w:tc>
      </w:tr>
      <w:tr>
        <w:tblPrEx>
          <w:tblCellMar>
            <w:top w:w="0" w:type="dxa"/>
            <w:left w:w="108" w:type="dxa"/>
            <w:bottom w:w="0" w:type="dxa"/>
            <w:right w:w="108" w:type="dxa"/>
          </w:tblCellMar>
        </w:tblPrEx>
        <w:trPr>
          <w:trHeight w:val="33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一、管控中心</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壁挂音箱</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数字功放</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台</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无线线鹅颈话筒</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无线手持麦克风</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ascii="宋体" w:hAnsi="宋体" w:cs="宋体"/>
                <w:color w:val="000000"/>
                <w:sz w:val="24"/>
                <w:szCs w:val="24"/>
              </w:rPr>
              <w:t>2</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套</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5</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单人操作台</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套</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6</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操作台专用椅</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把</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7</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无线AP</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台</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8</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可移动双人桌</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ascii="宋体" w:hAnsi="宋体" w:cs="宋体"/>
                <w:color w:val="000000"/>
                <w:sz w:val="24"/>
                <w:szCs w:val="24"/>
              </w:rPr>
              <w:t>16</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张</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9</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配套椅</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ascii="宋体" w:hAnsi="宋体" w:cs="宋体"/>
                <w:color w:val="000000"/>
                <w:sz w:val="24"/>
                <w:szCs w:val="24"/>
              </w:rPr>
              <w:t>32</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张</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10</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演讲台</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台</w:t>
            </w:r>
          </w:p>
        </w:tc>
      </w:tr>
      <w:tr>
        <w:tblPrEx>
          <w:tblCellMar>
            <w:top w:w="0" w:type="dxa"/>
            <w:left w:w="108" w:type="dxa"/>
            <w:bottom w:w="0" w:type="dxa"/>
            <w:right w:w="108" w:type="dxa"/>
          </w:tblCellMar>
        </w:tblPrEx>
        <w:trPr>
          <w:trHeight w:val="33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1.2装修改造</w:t>
            </w:r>
          </w:p>
        </w:tc>
      </w:tr>
      <w:tr>
        <w:tblPrEx>
          <w:tblCellMar>
            <w:top w:w="0" w:type="dxa"/>
            <w:left w:w="108" w:type="dxa"/>
            <w:bottom w:w="0" w:type="dxa"/>
            <w:right w:w="108" w:type="dxa"/>
          </w:tblCellMar>
        </w:tblPrEx>
        <w:trPr>
          <w:trHeight w:val="33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1.2.1拆除工程</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拆除杂项</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项</w:t>
            </w:r>
          </w:p>
        </w:tc>
      </w:tr>
      <w:tr>
        <w:tblPrEx>
          <w:tblCellMar>
            <w:top w:w="0" w:type="dxa"/>
            <w:left w:w="108" w:type="dxa"/>
            <w:bottom w:w="0" w:type="dxa"/>
            <w:right w:w="108" w:type="dxa"/>
          </w:tblCellMar>
        </w:tblPrEx>
        <w:trPr>
          <w:trHeight w:val="33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1.2.2出新工程</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水泥砂浆基层找平，水泥自流平</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116.1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平方</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PVC地胶</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116.1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平方</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100不锈钢踢脚线</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34.8</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米</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墙面喷刷涂料</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105.6</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平方</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5</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教室门更换（单开）</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樘</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6</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教室门更换（双开）</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樘</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7</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窗帘盒制作</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21.4</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米</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8</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窗帘</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21.4</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米</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9</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石膏板吊顶</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116.1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平方</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10</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顶面喷刷涂料</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116.1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平方</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11</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矮柜</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8</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12</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隔音玻璃</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25</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平方</w:t>
            </w:r>
          </w:p>
        </w:tc>
      </w:tr>
      <w:tr>
        <w:tblPrEx>
          <w:tblCellMar>
            <w:top w:w="0" w:type="dxa"/>
            <w:left w:w="108" w:type="dxa"/>
            <w:bottom w:w="0" w:type="dxa"/>
            <w:right w:w="108" w:type="dxa"/>
          </w:tblCellMar>
        </w:tblPrEx>
        <w:trPr>
          <w:trHeight w:val="33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1.2.3装饰墙面</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文化墙</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56.2</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平方</w:t>
            </w:r>
          </w:p>
        </w:tc>
      </w:tr>
      <w:tr>
        <w:tblPrEx>
          <w:tblCellMar>
            <w:top w:w="0" w:type="dxa"/>
            <w:left w:w="108" w:type="dxa"/>
            <w:bottom w:w="0" w:type="dxa"/>
            <w:right w:w="108" w:type="dxa"/>
          </w:tblCellMar>
        </w:tblPrEx>
        <w:trPr>
          <w:trHeight w:val="33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1.2.4安装工程</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LED平板灯</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12</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套</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开关面板</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五孔插座（10A）</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6</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强电地插</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5</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多媒体地插</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6</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信息插座</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7</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空气开关</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8</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吸顶空调（1拖2）</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台</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9</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配管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122</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米</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10</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配线</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51.2</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米</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11</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配线</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366</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米</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12</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开槽</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14</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米</w:t>
            </w:r>
          </w:p>
        </w:tc>
      </w:tr>
      <w:tr>
        <w:tblPrEx>
          <w:tblCellMar>
            <w:top w:w="0" w:type="dxa"/>
            <w:left w:w="108" w:type="dxa"/>
            <w:bottom w:w="0" w:type="dxa"/>
            <w:right w:w="108" w:type="dxa"/>
          </w:tblCellMar>
        </w:tblPrEx>
        <w:trPr>
          <w:trHeight w:val="33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二、广播级录播教室</w:t>
            </w:r>
          </w:p>
        </w:tc>
      </w:tr>
      <w:tr>
        <w:tblPrEx>
          <w:tblCellMar>
            <w:top w:w="0" w:type="dxa"/>
            <w:left w:w="108" w:type="dxa"/>
            <w:bottom w:w="0" w:type="dxa"/>
            <w:right w:w="108" w:type="dxa"/>
          </w:tblCellMar>
        </w:tblPrEx>
        <w:trPr>
          <w:trHeight w:val="33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2.1设备清单</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8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三拼一体机</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台</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28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综合系统软件</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套</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8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智能讲台</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台</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28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65寸一体机（含OPS）</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台</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5</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多屏研讨管理系统</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套</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6</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小组研讨系统</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套</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7</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双目高清摄像机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台</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8</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跟踪摄像机控制软件</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套</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9</w:t>
            </w:r>
          </w:p>
        </w:tc>
        <w:tc>
          <w:tcPr>
            <w:tcW w:w="28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广播级摄像机</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套</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10</w:t>
            </w:r>
          </w:p>
        </w:tc>
        <w:tc>
          <w:tcPr>
            <w:tcW w:w="28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全向麦克风</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11</w:t>
            </w:r>
          </w:p>
        </w:tc>
        <w:tc>
          <w:tcPr>
            <w:tcW w:w="28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红外线传感器</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12</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红外线手持话筒</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13</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232串口控制器</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6</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14</w:t>
            </w:r>
          </w:p>
        </w:tc>
        <w:tc>
          <w:tcPr>
            <w:tcW w:w="28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灯光开关面板</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15</w:t>
            </w:r>
          </w:p>
        </w:tc>
        <w:tc>
          <w:tcPr>
            <w:tcW w:w="28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红外控制器</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16</w:t>
            </w:r>
          </w:p>
        </w:tc>
        <w:tc>
          <w:tcPr>
            <w:tcW w:w="28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窗帘控制器</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17</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窗帘电机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18</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壁挂音箱</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19</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数字功放</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台</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20</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领夹麦克风</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套</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21</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24口千兆交换机</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台</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22</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无线AP</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台</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23</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学生分组桌椅</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48</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套</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24</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激光投影机（含支架、电动幕布）</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台</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25</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面光灯</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套</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26</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卷轴抠像幕布</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套</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27</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智能远程控制器</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套</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w:t>
            </w:r>
            <w:r>
              <w:rPr>
                <w:rFonts w:ascii="宋体" w:hAnsi="宋体" w:cs="宋体"/>
                <w:color w:val="000000"/>
                <w:sz w:val="24"/>
                <w:szCs w:val="24"/>
              </w:rPr>
              <w:t>8</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吸顶空调（1拖2）</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highlight w:val="none"/>
              </w:rPr>
            </w:pPr>
            <w:r>
              <w:rPr>
                <w:rFonts w:ascii="宋体" w:hAnsi="宋体" w:cs="宋体"/>
                <w:color w:val="000000"/>
                <w:sz w:val="24"/>
                <w:szCs w:val="24"/>
                <w:highlight w:val="none"/>
              </w:rPr>
              <w:t>1</w:t>
            </w:r>
            <w:r>
              <w:rPr>
                <w:rFonts w:hint="eastAsia" w:ascii="宋体" w:hAnsi="宋体" w:cs="宋体"/>
                <w:color w:val="000000"/>
                <w:sz w:val="24"/>
                <w:szCs w:val="24"/>
                <w:highlight w:val="none"/>
              </w:rPr>
              <w:t xml:space="preserve">   </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highlight w:val="none"/>
              </w:rPr>
            </w:pPr>
            <w:r>
              <w:rPr>
                <w:rFonts w:hint="eastAsia" w:ascii="宋体" w:hAnsi="宋体" w:cs="宋体"/>
                <w:color w:val="000000"/>
                <w:sz w:val="24"/>
                <w:szCs w:val="24"/>
                <w:highlight w:val="none"/>
              </w:rPr>
              <w:t xml:space="preserve">台    </w:t>
            </w:r>
          </w:p>
        </w:tc>
      </w:tr>
      <w:tr>
        <w:tblPrEx>
          <w:tblCellMar>
            <w:top w:w="0" w:type="dxa"/>
            <w:left w:w="108" w:type="dxa"/>
            <w:bottom w:w="0" w:type="dxa"/>
            <w:right w:w="108" w:type="dxa"/>
          </w:tblCellMar>
        </w:tblPrEx>
        <w:trPr>
          <w:trHeight w:val="33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2.2装修改造</w:t>
            </w:r>
          </w:p>
        </w:tc>
      </w:tr>
      <w:tr>
        <w:tblPrEx>
          <w:tblCellMar>
            <w:top w:w="0" w:type="dxa"/>
            <w:left w:w="108" w:type="dxa"/>
            <w:bottom w:w="0" w:type="dxa"/>
            <w:right w:w="108" w:type="dxa"/>
          </w:tblCellMar>
        </w:tblPrEx>
        <w:trPr>
          <w:trHeight w:val="33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2.2.1拆除工程</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拆除杂项</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项</w:t>
            </w:r>
          </w:p>
        </w:tc>
      </w:tr>
      <w:tr>
        <w:tblPrEx>
          <w:tblCellMar>
            <w:top w:w="0" w:type="dxa"/>
            <w:left w:w="108" w:type="dxa"/>
            <w:bottom w:w="0" w:type="dxa"/>
            <w:right w:w="108" w:type="dxa"/>
          </w:tblCellMar>
        </w:tblPrEx>
        <w:trPr>
          <w:trHeight w:val="33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2.2.2出新工程</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水泥砂浆基层找平，水泥自流平</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122.9</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平方</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PVC地胶</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122.9</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平方</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100不锈钢踢脚线</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43.9</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米</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铝合金压条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8.2</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米</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5</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墙面吸音装饰板</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85.55</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平方</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6</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教室门更换（单开）</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樘</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7</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教室门更换（双开）</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樘</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8</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窗帘盒制作</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12.9</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米</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9</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窗帘</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12.9</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米</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10</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铝扣板吊顶</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79.8</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平方</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11</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石膏板灯槽吊顶</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43.9</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平方</w:t>
            </w:r>
          </w:p>
        </w:tc>
      </w:tr>
      <w:tr>
        <w:tblPrEx>
          <w:tblCellMar>
            <w:top w:w="0" w:type="dxa"/>
            <w:left w:w="108" w:type="dxa"/>
            <w:bottom w:w="0" w:type="dxa"/>
            <w:right w:w="108" w:type="dxa"/>
          </w:tblCellMar>
        </w:tblPrEx>
        <w:trPr>
          <w:trHeight w:val="33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2.2.3安装工程</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LED平板灯</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12</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套</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开关面板</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五孔插座（10A）</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r>
              <w:rPr>
                <w:rFonts w:ascii="宋体" w:hAnsi="宋体" w:cs="宋体"/>
                <w:color w:val="000000"/>
                <w:sz w:val="24"/>
                <w:szCs w:val="24"/>
              </w:rPr>
              <w:t>0</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信息插座</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ascii="宋体" w:hAnsi="宋体" w:cs="宋体"/>
                <w:color w:val="000000"/>
                <w:sz w:val="24"/>
                <w:szCs w:val="24"/>
              </w:rPr>
              <w:t>8</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5</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空气开关</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个</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6</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空调</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台</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7</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配管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122</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米</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8</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配线</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366</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米</w:t>
            </w:r>
          </w:p>
        </w:tc>
      </w:tr>
      <w:tr>
        <w:tblPrEx>
          <w:tblCellMar>
            <w:top w:w="0" w:type="dxa"/>
            <w:left w:w="108" w:type="dxa"/>
            <w:bottom w:w="0" w:type="dxa"/>
            <w:right w:w="108" w:type="dxa"/>
          </w:tblCellMar>
        </w:tblPrEx>
        <w:trPr>
          <w:trHeight w:val="330" w:hRule="atLeast"/>
        </w:trPr>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9</w:t>
            </w:r>
          </w:p>
        </w:tc>
        <w:tc>
          <w:tcPr>
            <w:tcW w:w="2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r>
              <w:rPr>
                <w:rFonts w:hint="eastAsia" w:ascii="宋体" w:hAnsi="宋体" w:cs="宋体"/>
                <w:color w:val="000000"/>
                <w:sz w:val="24"/>
                <w:szCs w:val="24"/>
              </w:rPr>
              <w:t>开槽</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22</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米</w:t>
            </w:r>
          </w:p>
        </w:tc>
      </w:tr>
    </w:tbl>
    <w:p>
      <w:pPr>
        <w:spacing w:line="360" w:lineRule="auto"/>
        <w:outlineLvl w:val="1"/>
        <w:rPr>
          <w:b/>
          <w:bCs/>
          <w:sz w:val="24"/>
          <w:szCs w:val="24"/>
          <w:lang w:val="zh-CN"/>
        </w:rPr>
      </w:pPr>
      <w:r>
        <w:rPr>
          <w:rFonts w:hint="eastAsia"/>
          <w:b/>
          <w:bCs/>
          <w:sz w:val="24"/>
          <w:szCs w:val="24"/>
          <w:lang w:val="zh-CN"/>
        </w:rPr>
        <w:t>二、技术与性能要求</w:t>
      </w:r>
    </w:p>
    <w:tbl>
      <w:tblPr>
        <w:tblStyle w:val="20"/>
        <w:tblW w:w="10037" w:type="dxa"/>
        <w:jc w:val="center"/>
        <w:tblLayout w:type="fixed"/>
        <w:tblCellMar>
          <w:top w:w="0" w:type="dxa"/>
          <w:left w:w="108" w:type="dxa"/>
          <w:bottom w:w="0" w:type="dxa"/>
          <w:right w:w="108" w:type="dxa"/>
        </w:tblCellMar>
      </w:tblPr>
      <w:tblGrid>
        <w:gridCol w:w="757"/>
        <w:gridCol w:w="1806"/>
        <w:gridCol w:w="5561"/>
        <w:gridCol w:w="1003"/>
        <w:gridCol w:w="910"/>
      </w:tblGrid>
      <w:tr>
        <w:tblPrEx>
          <w:tblCellMar>
            <w:top w:w="0" w:type="dxa"/>
            <w:left w:w="108" w:type="dxa"/>
            <w:bottom w:w="0" w:type="dxa"/>
            <w:right w:w="108" w:type="dxa"/>
          </w:tblCellMar>
        </w:tblPrEx>
        <w:trPr>
          <w:trHeight w:val="617"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4"/>
                <w:szCs w:val="24"/>
              </w:rPr>
            </w:pPr>
            <w:bookmarkStart w:id="3" w:name="_Hlk150259577"/>
            <w:r>
              <w:rPr>
                <w:rFonts w:hint="eastAsia" w:ascii="宋体" w:hAnsi="宋体" w:cs="宋体"/>
                <w:b/>
                <w:bCs/>
                <w:color w:val="000000"/>
                <w:sz w:val="24"/>
                <w:szCs w:val="24"/>
                <w:lang w:bidi="ar"/>
              </w:rPr>
              <w:t>序号</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4"/>
                <w:szCs w:val="24"/>
              </w:rPr>
            </w:pPr>
            <w:r>
              <w:rPr>
                <w:rFonts w:hint="eastAsia" w:ascii="宋体" w:hAnsi="宋体" w:cs="宋体"/>
                <w:b/>
                <w:bCs/>
                <w:color w:val="000000"/>
                <w:sz w:val="24"/>
                <w:szCs w:val="24"/>
                <w:lang w:bidi="ar"/>
              </w:rPr>
              <w:t>产品名称</w:t>
            </w:r>
          </w:p>
        </w:tc>
        <w:tc>
          <w:tcPr>
            <w:tcW w:w="5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4"/>
                <w:szCs w:val="24"/>
              </w:rPr>
            </w:pPr>
            <w:r>
              <w:rPr>
                <w:rFonts w:hint="eastAsia" w:ascii="宋体" w:hAnsi="宋体" w:cs="宋体"/>
                <w:b/>
                <w:bCs/>
                <w:color w:val="000000"/>
                <w:sz w:val="24"/>
                <w:szCs w:val="24"/>
                <w:lang w:bidi="ar"/>
              </w:rPr>
              <w:t>参数</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4"/>
                <w:szCs w:val="24"/>
              </w:rPr>
            </w:pPr>
            <w:r>
              <w:rPr>
                <w:rFonts w:hint="eastAsia" w:ascii="宋体" w:hAnsi="宋体" w:cs="宋体"/>
                <w:b/>
                <w:bCs/>
                <w:color w:val="000000"/>
                <w:sz w:val="24"/>
                <w:szCs w:val="24"/>
                <w:lang w:bidi="ar"/>
              </w:rPr>
              <w:t>数量</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4"/>
                <w:szCs w:val="24"/>
              </w:rPr>
            </w:pPr>
            <w:r>
              <w:rPr>
                <w:rFonts w:hint="eastAsia" w:ascii="宋体" w:hAnsi="宋体" w:cs="宋体"/>
                <w:b/>
                <w:bCs/>
                <w:color w:val="000000"/>
                <w:sz w:val="24"/>
                <w:szCs w:val="24"/>
                <w:lang w:bidi="ar"/>
              </w:rPr>
              <w:t>单位</w:t>
            </w:r>
          </w:p>
        </w:tc>
      </w:tr>
      <w:tr>
        <w:tblPrEx>
          <w:tblCellMar>
            <w:top w:w="0" w:type="dxa"/>
            <w:left w:w="108" w:type="dxa"/>
            <w:bottom w:w="0" w:type="dxa"/>
            <w:right w:w="108" w:type="dxa"/>
          </w:tblCellMar>
        </w:tblPrEx>
        <w:trPr>
          <w:trHeight w:val="314" w:hRule="atLeast"/>
          <w:jc w:val="center"/>
        </w:trPr>
        <w:tc>
          <w:tcPr>
            <w:tcW w:w="1003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4"/>
                <w:szCs w:val="24"/>
                <w:lang w:bidi="ar"/>
              </w:rPr>
            </w:pPr>
            <w:r>
              <w:rPr>
                <w:rFonts w:hint="eastAsia" w:ascii="宋体" w:hAnsi="宋体" w:cs="宋体"/>
                <w:b/>
                <w:bCs/>
                <w:color w:val="000000"/>
                <w:sz w:val="24"/>
                <w:szCs w:val="24"/>
                <w:lang w:bidi="ar"/>
              </w:rPr>
              <w:t>一、管控中心</w:t>
            </w:r>
          </w:p>
        </w:tc>
      </w:tr>
      <w:tr>
        <w:tblPrEx>
          <w:tblCellMar>
            <w:top w:w="0" w:type="dxa"/>
            <w:left w:w="108" w:type="dxa"/>
            <w:bottom w:w="0" w:type="dxa"/>
            <w:right w:w="108" w:type="dxa"/>
          </w:tblCellMar>
        </w:tblPrEx>
        <w:trPr>
          <w:trHeight w:val="2136"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1</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壁挂音箱</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1.壁挂音箱；</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2.PP盆橡胶边,天花带塑胶桶；</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3.喇叭规格：6.5寸；</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4.额定功率:15W；</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5.定阻输入：4-16欧姆；</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6.频宽:60-20KHz ；</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7.灵敏度:90dB ；</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4</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只</w:t>
            </w:r>
          </w:p>
        </w:tc>
      </w:tr>
      <w:tr>
        <w:tblPrEx>
          <w:tblCellMar>
            <w:top w:w="0" w:type="dxa"/>
            <w:left w:w="108" w:type="dxa"/>
            <w:bottom w:w="0" w:type="dxa"/>
            <w:right w:w="108" w:type="dxa"/>
          </w:tblCellMar>
        </w:tblPrEx>
        <w:trPr>
          <w:trHeight w:val="1529"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2</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数字功放</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1.机架式1U功率放大器，输出功率大，性能稳定，调试简单、扩音清晰、灵敏度高、保护功能完善；</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2.前面板三路话筒输入（音量独立调节）、混响延时调节；</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▲3.后面板四路音频输入，电脑、投影机、影碟机、一体机音频信号输入功能。（提供具有CNAS标识的检测报告复印件并加盖投标人公章）；</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▲4.1组独立录播音频信号输出，与录播音频信号输出大小调节功能。（提供具有CNAS标识的检测报告复印件并加盖投标人公章）</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5.能有效的抑制声反馈，克服“啸叫”；</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6.备有环保麦克风插口、自带6V直流电源；</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7.频率响应：20Hz-20KHz；</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8.话筒：60Hz-14KHz；</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9.话筒非线性失真：≤0.2%；</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10.功放噪音电压：≤10mV；</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11.信噪比：≥80dB；</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12.线路：0dB 0.775v；</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13.输出功率：2×200W；</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14.线路输出：800mv；</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15.线路输入：450mv；</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台</w:t>
            </w:r>
          </w:p>
        </w:tc>
      </w:tr>
      <w:tr>
        <w:tblPrEx>
          <w:tblCellMar>
            <w:top w:w="0" w:type="dxa"/>
            <w:left w:w="108" w:type="dxa"/>
            <w:bottom w:w="0" w:type="dxa"/>
            <w:right w:w="108" w:type="dxa"/>
          </w:tblCellMar>
        </w:tblPrEx>
        <w:trPr>
          <w:trHeight w:val="1833"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3</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无线线鹅颈话筒</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1.偏移度：±40K</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2.S/N：&lt;100dB</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 xml:space="preserve">3.失真：&lt;0.5%A </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4.计权：1KHz</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5.频率响应范围：50HKz~18KHz±3dB</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6.射频输出功率：10mw</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只</w:t>
            </w:r>
          </w:p>
        </w:tc>
      </w:tr>
      <w:tr>
        <w:tblPrEx>
          <w:tblCellMar>
            <w:top w:w="0" w:type="dxa"/>
            <w:left w:w="108" w:type="dxa"/>
            <w:bottom w:w="0" w:type="dxa"/>
            <w:right w:w="108" w:type="dxa"/>
          </w:tblCellMar>
        </w:tblPrEx>
        <w:trPr>
          <w:trHeight w:val="9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4</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无线手持麦克风</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1.双通道真分集接收一拖二无线麦克风系统；</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2</w:t>
            </w:r>
            <w:r>
              <w:rPr>
                <w:rFonts w:hint="eastAsia" w:ascii="宋体" w:hAnsi="宋体" w:cs="宋体"/>
                <w:color w:val="000000"/>
                <w:sz w:val="24"/>
                <w:szCs w:val="24"/>
                <w:lang w:bidi="ar"/>
              </w:rPr>
              <w:t>.支持PLL数字锁相环多信道频率合成技术；具有≥4个可选频段；</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3</w:t>
            </w:r>
            <w:r>
              <w:rPr>
                <w:rFonts w:hint="eastAsia" w:ascii="宋体" w:hAnsi="宋体" w:cs="宋体"/>
                <w:color w:val="000000"/>
                <w:sz w:val="24"/>
                <w:szCs w:val="24"/>
                <w:lang w:bidi="ar"/>
              </w:rPr>
              <w:t>.内置液晶显示屏，可现实接收机及发射器的信号强度、音频动态、工作ID、工作频率等；</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4</w:t>
            </w:r>
            <w:r>
              <w:rPr>
                <w:rFonts w:hint="eastAsia" w:ascii="宋体" w:hAnsi="宋体" w:cs="宋体"/>
                <w:color w:val="000000"/>
                <w:sz w:val="24"/>
                <w:szCs w:val="24"/>
                <w:lang w:bidi="ar"/>
              </w:rPr>
              <w:t>.超远拾音距离≥200米；</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5</w:t>
            </w:r>
            <w:r>
              <w:rPr>
                <w:rFonts w:hint="eastAsia" w:ascii="宋体" w:hAnsi="宋体" w:cs="宋体"/>
                <w:color w:val="000000"/>
                <w:sz w:val="24"/>
                <w:szCs w:val="24"/>
                <w:lang w:bidi="ar"/>
              </w:rPr>
              <w:t>.支持任意搭配手持麦克风、腰挂式发射器(头戴/领夹咪)使用；</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ascii="宋体" w:hAnsi="宋体" w:cs="宋体"/>
                <w:color w:val="000000"/>
                <w:sz w:val="24"/>
                <w:szCs w:val="24"/>
                <w:lang w:bidi="ar"/>
              </w:rPr>
              <w:t>2</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套</w:t>
            </w:r>
          </w:p>
        </w:tc>
      </w:tr>
      <w:tr>
        <w:tblPrEx>
          <w:tblCellMar>
            <w:top w:w="0" w:type="dxa"/>
            <w:left w:w="108" w:type="dxa"/>
            <w:bottom w:w="0" w:type="dxa"/>
            <w:right w:w="108" w:type="dxa"/>
          </w:tblCellMar>
        </w:tblPrEx>
        <w:trPr>
          <w:trHeight w:val="82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5</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单人操作台</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
              </w:num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控制台布局合理、美观、可用性高，符合安全规范以及人体工学方面的要求；</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2.</w:t>
            </w:r>
            <w:r>
              <w:rPr>
                <w:rFonts w:hint="eastAsia" w:ascii="宋体" w:hAnsi="宋体" w:cs="宋体"/>
                <w:color w:val="000000"/>
                <w:sz w:val="24"/>
                <w:szCs w:val="24"/>
                <w:lang w:bidi="ar"/>
              </w:rPr>
              <w:t>台面采用整体环保纤维板、侧板采用整体厚度≥</w:t>
            </w:r>
            <w:r>
              <w:rPr>
                <w:rFonts w:ascii="宋体" w:hAnsi="宋体" w:cs="宋体"/>
                <w:color w:val="000000"/>
                <w:sz w:val="24"/>
                <w:szCs w:val="24"/>
                <w:lang w:bidi="ar"/>
              </w:rPr>
              <w:t>60mm</w:t>
            </w:r>
            <w:r>
              <w:rPr>
                <w:rFonts w:hint="eastAsia" w:ascii="宋体" w:hAnsi="宋体" w:cs="宋体"/>
                <w:color w:val="000000"/>
                <w:sz w:val="24"/>
                <w:szCs w:val="24"/>
                <w:lang w:bidi="ar"/>
              </w:rPr>
              <w:t>环保纤维板、背景墙采用整体厚度≥</w:t>
            </w:r>
            <w:r>
              <w:rPr>
                <w:rFonts w:ascii="宋体" w:hAnsi="宋体" w:cs="宋体"/>
                <w:color w:val="000000"/>
                <w:sz w:val="24"/>
                <w:szCs w:val="24"/>
                <w:lang w:bidi="ar"/>
              </w:rPr>
              <w:t>60mm</w:t>
            </w:r>
            <w:r>
              <w:rPr>
                <w:rFonts w:hint="eastAsia" w:ascii="宋体" w:hAnsi="宋体" w:cs="宋体"/>
                <w:color w:val="000000"/>
                <w:sz w:val="24"/>
                <w:szCs w:val="24"/>
                <w:lang w:bidi="ar"/>
              </w:rPr>
              <w:t>环保纤维板烤漆工艺。表面光亮平整，有光泽，整体效果好，台面开有走线孔；</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3.</w:t>
            </w:r>
            <w:r>
              <w:rPr>
                <w:rFonts w:hint="eastAsia" w:ascii="宋体" w:hAnsi="宋体" w:cs="宋体"/>
                <w:color w:val="000000"/>
                <w:sz w:val="24"/>
                <w:szCs w:val="24"/>
                <w:lang w:bidi="ar"/>
              </w:rPr>
              <w:t>柜体采用纤维板烤漆柜体制作，单面开门结构。层板开有</w:t>
            </w:r>
            <w:r>
              <w:rPr>
                <w:rFonts w:ascii="宋体" w:hAnsi="宋体" w:cs="宋体"/>
                <w:color w:val="000000"/>
                <w:sz w:val="24"/>
                <w:szCs w:val="24"/>
                <w:lang w:bidi="ar"/>
              </w:rPr>
              <w:t>86</w:t>
            </w:r>
            <w:r>
              <w:rPr>
                <w:rFonts w:hint="eastAsia" w:ascii="宋体" w:hAnsi="宋体" w:cs="宋体"/>
                <w:color w:val="000000"/>
                <w:sz w:val="24"/>
                <w:szCs w:val="24"/>
                <w:lang w:bidi="ar"/>
              </w:rPr>
              <w:t>型插座面板孔，可以安装强电、弱电插座面板。柜体采用烤漆工艺，柜体拼装组合方式，通用连接件的连接形成一个整体，安装简单方便；</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4.</w:t>
            </w:r>
            <w:r>
              <w:rPr>
                <w:rFonts w:hint="eastAsia" w:ascii="宋体" w:hAnsi="宋体" w:cs="宋体"/>
                <w:color w:val="000000"/>
                <w:sz w:val="24"/>
                <w:szCs w:val="24"/>
                <w:lang w:bidi="ar"/>
              </w:rPr>
              <w:t>侧脚挡板采用烤漆分色工艺，侧脚挡板内配置嵌入</w:t>
            </w:r>
            <w:r>
              <w:rPr>
                <w:rFonts w:ascii="宋体" w:hAnsi="宋体" w:cs="宋体"/>
                <w:color w:val="000000"/>
                <w:sz w:val="24"/>
                <w:szCs w:val="24"/>
                <w:lang w:bidi="ar"/>
              </w:rPr>
              <w:t>LED</w:t>
            </w:r>
            <w:r>
              <w:rPr>
                <w:rFonts w:hint="eastAsia" w:ascii="宋体" w:hAnsi="宋体" w:cs="宋体"/>
                <w:color w:val="000000"/>
                <w:sz w:val="24"/>
                <w:szCs w:val="24"/>
                <w:lang w:bidi="ar"/>
              </w:rPr>
              <w:t>灯带，颜色可选（蓝色、红色、白色、绿色、紫色、黄色）。外面嵌入亚克力装饰，使得发光匀称。</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5.</w:t>
            </w:r>
            <w:r>
              <w:rPr>
                <w:rFonts w:hint="eastAsia" w:ascii="宋体" w:hAnsi="宋体" w:cs="宋体"/>
                <w:color w:val="000000"/>
                <w:sz w:val="24"/>
                <w:szCs w:val="24"/>
                <w:lang w:bidi="ar"/>
              </w:rPr>
              <w:t>根据校方要求印制</w:t>
            </w:r>
            <w:r>
              <w:rPr>
                <w:rFonts w:ascii="宋体" w:hAnsi="宋体" w:cs="宋体"/>
                <w:color w:val="000000"/>
                <w:sz w:val="24"/>
                <w:szCs w:val="24"/>
                <w:lang w:bidi="ar"/>
              </w:rPr>
              <w:t>logo</w:t>
            </w:r>
            <w:r>
              <w:rPr>
                <w:rFonts w:hint="eastAsia" w:ascii="宋体" w:hAnsi="宋体" w:cs="宋体"/>
                <w:color w:val="000000"/>
                <w:sz w:val="24"/>
                <w:szCs w:val="24"/>
                <w:lang w:bidi="ar"/>
              </w:rPr>
              <w:t>或其他标识。</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套</w:t>
            </w:r>
          </w:p>
        </w:tc>
      </w:tr>
      <w:tr>
        <w:tblPrEx>
          <w:tblCellMar>
            <w:top w:w="0" w:type="dxa"/>
            <w:left w:w="108" w:type="dxa"/>
            <w:bottom w:w="0" w:type="dxa"/>
            <w:right w:w="108" w:type="dxa"/>
          </w:tblCellMar>
        </w:tblPrEx>
        <w:trPr>
          <w:trHeight w:val="2708"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6</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操作台专用椅</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1.头枕+靠背：PA+GF材质，带腰靠,头枕；带海绵软包，前后可摇动、背；可倾仰，顶腰；</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2.网布：韩网；</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3.木板：12MM；</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4.海绵：高密度无粉定型海绵；</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5.扶手：尼龙材质扶手撑，PU扶手面升降功能；</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6.底盘：2.5厚；</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7.底布：衬布，无粉化；</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8.气杆：韩资威亚斯三级气杆；</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9.脚：尼龙，静压测试1136KG以上，静压两分钟；</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10.轮采用尼龙轮。</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把</w:t>
            </w:r>
          </w:p>
        </w:tc>
      </w:tr>
      <w:tr>
        <w:tblPrEx>
          <w:tblCellMar>
            <w:top w:w="0" w:type="dxa"/>
            <w:left w:w="108" w:type="dxa"/>
            <w:bottom w:w="0" w:type="dxa"/>
            <w:right w:w="108" w:type="dxa"/>
          </w:tblCellMar>
        </w:tblPrEx>
        <w:trPr>
          <w:trHeight w:val="3789"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7</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sz w:val="24"/>
                <w:szCs w:val="24"/>
              </w:rPr>
            </w:pPr>
            <w:r>
              <w:rPr>
                <w:rFonts w:hint="eastAsia" w:ascii="宋体" w:hAnsi="宋体" w:cs="宋体"/>
                <w:sz w:val="24"/>
                <w:szCs w:val="24"/>
                <w:lang w:bidi="ar"/>
              </w:rPr>
              <w:t>无线AP</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szCs w:val="24"/>
                <w:lang w:bidi="ar"/>
              </w:rPr>
            </w:pPr>
            <w:r>
              <w:rPr>
                <w:rFonts w:hint="eastAsia" w:ascii="宋体" w:hAnsi="宋体" w:cs="宋体"/>
                <w:sz w:val="24"/>
                <w:szCs w:val="24"/>
                <w:lang w:bidi="ar"/>
              </w:rPr>
              <w:t>1.支持802.11ax标准，整机4条空间流，采用双路双频设计，一个2.4GHz射频卡，一个5GHz射频卡。</w:t>
            </w:r>
          </w:p>
          <w:p>
            <w:pPr>
              <w:jc w:val="left"/>
              <w:textAlignment w:val="center"/>
              <w:rPr>
                <w:rFonts w:ascii="宋体" w:hAnsi="宋体" w:cs="宋体"/>
                <w:sz w:val="24"/>
                <w:szCs w:val="24"/>
                <w:lang w:bidi="ar"/>
              </w:rPr>
            </w:pPr>
            <w:r>
              <w:rPr>
                <w:rFonts w:hint="eastAsia" w:ascii="宋体" w:hAnsi="宋体" w:cs="宋体"/>
                <w:sz w:val="24"/>
                <w:szCs w:val="24"/>
                <w:lang w:bidi="ar"/>
              </w:rPr>
              <w:t>2.整机最大无线速率≥2.97Gbps，至少支持1个1G以太网端口、1个2.5GSFP光口</w:t>
            </w:r>
          </w:p>
          <w:p>
            <w:pPr>
              <w:jc w:val="left"/>
              <w:textAlignment w:val="center"/>
              <w:rPr>
                <w:rFonts w:ascii="宋体" w:hAnsi="宋体" w:cs="宋体"/>
                <w:sz w:val="24"/>
                <w:szCs w:val="24"/>
                <w:lang w:bidi="ar"/>
              </w:rPr>
            </w:pPr>
            <w:r>
              <w:rPr>
                <w:rFonts w:hint="eastAsia" w:ascii="宋体" w:hAnsi="宋体" w:cs="宋体"/>
                <w:sz w:val="24"/>
                <w:szCs w:val="24"/>
                <w:lang w:bidi="ar"/>
              </w:rPr>
              <w:t>3.为保障设备受到外部机械碰撞仍可以保持结构完整、功能完备，要求所投室内无线接入点符合国标GB/T 20138-2006即《电器设备外壳对外界机械碰撞的防护等级（IK代码）》标准，至少达到防护等级IK08</w:t>
            </w:r>
          </w:p>
          <w:p>
            <w:pPr>
              <w:jc w:val="left"/>
              <w:textAlignment w:val="center"/>
              <w:rPr>
                <w:rFonts w:ascii="宋体" w:hAnsi="宋体" w:cs="宋体"/>
                <w:sz w:val="24"/>
                <w:szCs w:val="24"/>
                <w:lang w:bidi="ar"/>
              </w:rPr>
            </w:pPr>
            <w:r>
              <w:rPr>
                <w:rFonts w:hint="eastAsia" w:ascii="宋体" w:hAnsi="宋体" w:cs="宋体"/>
                <w:sz w:val="24"/>
                <w:szCs w:val="24"/>
                <w:lang w:bidi="ar"/>
              </w:rPr>
              <w:t>4.为保证无线网络运行稳定，需要提供网优工具分析网络运行情况，网优工具支持设备健康状态、网络覆盖情况、网络关联成功、上网体验情况、网络活跃度、网络饱和度查询功能</w:t>
            </w:r>
          </w:p>
          <w:p>
            <w:pPr>
              <w:pStyle w:val="19"/>
              <w:ind w:left="0" w:leftChars="0" w:firstLine="0" w:firstLineChars="0"/>
              <w:rPr>
                <w:rFonts w:ascii="宋体" w:hAnsi="宋体"/>
                <w:color w:val="auto"/>
                <w:sz w:val="24"/>
                <w:szCs w:val="24"/>
                <w:lang w:bidi="ar"/>
              </w:rPr>
            </w:pPr>
            <w:r>
              <w:rPr>
                <w:rFonts w:ascii="宋体" w:hAnsi="宋体" w:eastAsia="宋体"/>
                <w:color w:val="auto"/>
                <w:sz w:val="24"/>
                <w:szCs w:val="24"/>
                <w:lang w:bidi="ar"/>
              </w:rPr>
              <w:t>5</w:t>
            </w:r>
            <w:r>
              <w:rPr>
                <w:rFonts w:hint="eastAsia" w:ascii="宋体" w:hAnsi="宋体" w:eastAsia="宋体"/>
                <w:color w:val="auto"/>
                <w:sz w:val="24"/>
                <w:szCs w:val="24"/>
                <w:lang w:bidi="ar"/>
              </w:rPr>
              <w:t>.支持≥</w:t>
            </w:r>
            <w:r>
              <w:rPr>
                <w:rFonts w:ascii="宋体" w:hAnsi="宋体" w:eastAsia="宋体"/>
                <w:color w:val="auto"/>
                <w:sz w:val="24"/>
                <w:szCs w:val="24"/>
                <w:lang w:bidi="ar"/>
              </w:rPr>
              <w:t>100</w:t>
            </w:r>
            <w:r>
              <w:rPr>
                <w:rFonts w:hint="eastAsia" w:ascii="宋体" w:hAnsi="宋体" w:eastAsia="宋体"/>
                <w:color w:val="auto"/>
                <w:sz w:val="24"/>
                <w:szCs w:val="24"/>
                <w:lang w:bidi="ar"/>
              </w:rPr>
              <w:t>终端同时接入。</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台</w:t>
            </w:r>
          </w:p>
        </w:tc>
      </w:tr>
      <w:tr>
        <w:tblPrEx>
          <w:tblCellMar>
            <w:top w:w="0" w:type="dxa"/>
            <w:left w:w="108" w:type="dxa"/>
            <w:bottom w:w="0" w:type="dxa"/>
            <w:right w:w="108" w:type="dxa"/>
          </w:tblCellMar>
        </w:tblPrEx>
        <w:trPr>
          <w:trHeight w:val="921"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sz w:val="24"/>
                <w:szCs w:val="24"/>
              </w:rPr>
            </w:pPr>
            <w:r>
              <w:rPr>
                <w:rFonts w:hint="eastAsia" w:ascii="宋体" w:hAnsi="宋体" w:cs="宋体"/>
                <w:sz w:val="24"/>
                <w:szCs w:val="24"/>
                <w:lang w:bidi="ar"/>
              </w:rPr>
              <w:t>8</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sz w:val="24"/>
                <w:szCs w:val="24"/>
              </w:rPr>
            </w:pPr>
            <w:r>
              <w:rPr>
                <w:rFonts w:hint="eastAsia" w:ascii="宋体" w:hAnsi="宋体" w:cs="宋体"/>
                <w:sz w:val="24"/>
                <w:szCs w:val="24"/>
                <w:lang w:bidi="ar"/>
              </w:rPr>
              <w:t>可移动双人桌</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szCs w:val="24"/>
                <w:lang w:bidi="ar"/>
              </w:rPr>
            </w:pPr>
            <w:r>
              <w:rPr>
                <w:rFonts w:hint="eastAsia" w:ascii="宋体" w:hAnsi="宋体" w:cs="宋体"/>
                <w:sz w:val="24"/>
                <w:szCs w:val="24"/>
                <w:lang w:bidi="ar"/>
              </w:rPr>
              <w:t>1.尺寸：长*宽*高≥120*45*75cm；</w:t>
            </w:r>
          </w:p>
          <w:p>
            <w:pPr>
              <w:jc w:val="left"/>
              <w:textAlignment w:val="center"/>
              <w:rPr>
                <w:rFonts w:ascii="宋体" w:hAnsi="宋体" w:cs="宋体"/>
                <w:sz w:val="24"/>
                <w:szCs w:val="24"/>
                <w:lang w:bidi="ar"/>
              </w:rPr>
            </w:pPr>
            <w:r>
              <w:rPr>
                <w:rFonts w:hint="eastAsia" w:ascii="宋体" w:hAnsi="宋体" w:cs="宋体"/>
                <w:sz w:val="24"/>
                <w:szCs w:val="24"/>
                <w:lang w:bidi="ar"/>
              </w:rPr>
              <w:t>2.面板：采用≥25mm厚三聚氰胺板高密度板四周全自动机器双色封边条，所用基材及防火板材料符合国家环保标准（E0级）；</w:t>
            </w:r>
          </w:p>
          <w:p>
            <w:pPr>
              <w:jc w:val="left"/>
              <w:textAlignment w:val="center"/>
              <w:rPr>
                <w:rFonts w:ascii="宋体" w:hAnsi="宋体" w:cs="宋体"/>
                <w:sz w:val="24"/>
                <w:szCs w:val="24"/>
              </w:rPr>
            </w:pPr>
            <w:r>
              <w:rPr>
                <w:rFonts w:hint="eastAsia" w:ascii="宋体" w:hAnsi="宋体" w:cs="宋体"/>
                <w:sz w:val="24"/>
                <w:szCs w:val="24"/>
                <w:lang w:bidi="ar"/>
              </w:rPr>
              <w:t>3.可订制各种面板的颜色;二层书网：冷轧钢板平板冲孔压型;前挡板：使用冷轧钢平板冲孔压型，磨砂工艺喷涂。</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sz w:val="24"/>
                <w:szCs w:val="24"/>
              </w:rPr>
            </w:pPr>
            <w:r>
              <w:rPr>
                <w:rFonts w:ascii="宋体" w:hAnsi="宋体" w:cs="宋体"/>
                <w:sz w:val="24"/>
                <w:szCs w:val="24"/>
                <w:lang w:bidi="ar"/>
              </w:rPr>
              <w:t>16</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sz w:val="24"/>
                <w:szCs w:val="24"/>
              </w:rPr>
            </w:pPr>
            <w:r>
              <w:rPr>
                <w:rFonts w:hint="eastAsia" w:ascii="宋体" w:hAnsi="宋体" w:cs="宋体"/>
                <w:sz w:val="24"/>
                <w:szCs w:val="24"/>
                <w:lang w:bidi="ar"/>
              </w:rPr>
              <w:t>张</w:t>
            </w:r>
          </w:p>
        </w:tc>
      </w:tr>
      <w:tr>
        <w:tblPrEx>
          <w:tblCellMar>
            <w:top w:w="0" w:type="dxa"/>
            <w:left w:w="108" w:type="dxa"/>
            <w:bottom w:w="0" w:type="dxa"/>
            <w:right w:w="108" w:type="dxa"/>
          </w:tblCellMar>
        </w:tblPrEx>
        <w:trPr>
          <w:trHeight w:val="2136"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sz w:val="24"/>
                <w:szCs w:val="24"/>
              </w:rPr>
            </w:pPr>
            <w:r>
              <w:rPr>
                <w:rFonts w:hint="eastAsia" w:ascii="宋体" w:hAnsi="宋体" w:cs="宋体"/>
                <w:sz w:val="24"/>
                <w:szCs w:val="24"/>
                <w:lang w:bidi="ar"/>
              </w:rPr>
              <w:t>9</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sz w:val="24"/>
                <w:szCs w:val="24"/>
              </w:rPr>
            </w:pPr>
            <w:r>
              <w:rPr>
                <w:rFonts w:hint="eastAsia" w:ascii="宋体" w:hAnsi="宋体" w:cs="宋体"/>
                <w:sz w:val="24"/>
                <w:szCs w:val="24"/>
                <w:lang w:bidi="ar"/>
              </w:rPr>
              <w:t>配套椅</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szCs w:val="24"/>
                <w:lang w:bidi="ar"/>
              </w:rPr>
            </w:pPr>
            <w:r>
              <w:rPr>
                <w:rFonts w:hint="eastAsia" w:ascii="宋体" w:hAnsi="宋体" w:cs="宋体"/>
                <w:sz w:val="24"/>
                <w:szCs w:val="24"/>
                <w:lang w:bidi="ar"/>
              </w:rPr>
              <w:t>1.尺寸：长*宽*高≥78*45*45cm。</w:t>
            </w:r>
          </w:p>
          <w:p>
            <w:pPr>
              <w:jc w:val="left"/>
              <w:textAlignment w:val="center"/>
              <w:rPr>
                <w:rFonts w:ascii="宋体" w:hAnsi="宋体" w:cs="宋体"/>
                <w:sz w:val="24"/>
                <w:szCs w:val="24"/>
              </w:rPr>
            </w:pPr>
            <w:r>
              <w:rPr>
                <w:rFonts w:hint="eastAsia" w:ascii="宋体" w:hAnsi="宋体" w:cs="宋体"/>
                <w:sz w:val="24"/>
                <w:szCs w:val="24"/>
                <w:lang w:bidi="ar"/>
              </w:rPr>
              <w:t>2.椅架：采用≥1.5mm厚优质冷轧钢管、连接杆采用≥1.2mm厚的优质冷轧钢旦管；椅面:采用PP工程塑料一次注塑成型，内可加软包，软包内采用定型棉、夹板，颜色可选；材料表面经酸洗、磷化、脱脂，高温静电喷涂防锈处理。</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sz w:val="24"/>
                <w:szCs w:val="24"/>
              </w:rPr>
            </w:pPr>
            <w:r>
              <w:rPr>
                <w:rFonts w:ascii="宋体" w:hAnsi="宋体" w:cs="宋体"/>
                <w:sz w:val="24"/>
                <w:szCs w:val="24"/>
                <w:lang w:bidi="ar"/>
              </w:rPr>
              <w:t>32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sz w:val="24"/>
                <w:szCs w:val="24"/>
              </w:rPr>
            </w:pPr>
            <w:r>
              <w:rPr>
                <w:rFonts w:hint="eastAsia" w:ascii="宋体" w:hAnsi="宋体" w:cs="宋体"/>
                <w:sz w:val="24"/>
                <w:szCs w:val="24"/>
                <w:lang w:bidi="ar"/>
              </w:rPr>
              <w:t>张</w:t>
            </w:r>
          </w:p>
        </w:tc>
      </w:tr>
      <w:tr>
        <w:tblPrEx>
          <w:tblCellMar>
            <w:top w:w="0" w:type="dxa"/>
            <w:left w:w="108" w:type="dxa"/>
            <w:bottom w:w="0" w:type="dxa"/>
            <w:right w:w="108" w:type="dxa"/>
          </w:tblCellMar>
        </w:tblPrEx>
        <w:trPr>
          <w:trHeight w:val="921"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r>
              <w:rPr>
                <w:rFonts w:ascii="宋体" w:hAnsi="宋体" w:cs="宋体"/>
                <w:color w:val="000000"/>
                <w:sz w:val="24"/>
                <w:szCs w:val="24"/>
                <w:lang w:bidi="ar"/>
              </w:rPr>
              <w:t>0</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演讲台</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9"/>
              <w:spacing w:after="0" w:line="240" w:lineRule="auto"/>
              <w:ind w:left="0" w:leftChars="0" w:firstLine="0" w:firstLineChars="0"/>
              <w:jc w:val="left"/>
              <w:rPr>
                <w:rFonts w:ascii="宋体" w:hAnsi="宋体" w:eastAsia="宋体" w:cs="宋体"/>
                <w:color w:val="000000"/>
                <w:sz w:val="24"/>
                <w:szCs w:val="24"/>
                <w:lang w:bidi="ar"/>
              </w:rPr>
            </w:pPr>
            <w:r>
              <w:rPr>
                <w:rFonts w:ascii="宋体" w:hAnsi="宋体" w:cs="宋体"/>
                <w:color w:val="000000"/>
                <w:sz w:val="24"/>
                <w:szCs w:val="24"/>
                <w:lang w:bidi="ar"/>
              </w:rPr>
              <w:t>1</w:t>
            </w:r>
            <w:r>
              <w:rPr>
                <w:rFonts w:hint="eastAsia" w:ascii="宋体" w:hAnsi="宋体" w:cs="宋体"/>
                <w:color w:val="000000"/>
                <w:sz w:val="24"/>
                <w:szCs w:val="24"/>
                <w:lang w:bidi="ar"/>
              </w:rPr>
              <w:t>.</w:t>
            </w:r>
            <w:r>
              <w:rPr>
                <w:rFonts w:hint="eastAsia" w:ascii="宋体" w:hAnsi="宋体" w:eastAsia="宋体" w:cs="宋体"/>
                <w:color w:val="000000"/>
                <w:sz w:val="24"/>
                <w:szCs w:val="24"/>
                <w:lang w:bidi="ar"/>
              </w:rPr>
              <w:t>E1级密度板</w:t>
            </w:r>
          </w:p>
          <w:p>
            <w:pPr>
              <w:pStyle w:val="19"/>
              <w:spacing w:after="0" w:line="240" w:lineRule="auto"/>
              <w:ind w:left="0" w:leftChars="0" w:firstLine="0" w:firstLineChars="0"/>
              <w:jc w:val="left"/>
              <w:rPr>
                <w:rFonts w:ascii="宋体" w:hAnsi="宋体" w:eastAsia="宋体" w:cs="宋体"/>
                <w:color w:val="000000"/>
                <w:sz w:val="24"/>
                <w:szCs w:val="24"/>
                <w:lang w:bidi="ar"/>
              </w:rPr>
            </w:pPr>
            <w:r>
              <w:rPr>
                <w:rFonts w:hint="eastAsia" w:ascii="宋体" w:hAnsi="宋体" w:eastAsia="宋体" w:cs="宋体"/>
                <w:color w:val="000000"/>
                <w:sz w:val="24"/>
                <w:szCs w:val="24"/>
                <w:lang w:bidi="ar"/>
              </w:rPr>
              <w:t>2.尺寸≥40*60*110cm</w:t>
            </w:r>
          </w:p>
          <w:p>
            <w:pPr>
              <w:pStyle w:val="19"/>
              <w:spacing w:after="0" w:line="240" w:lineRule="auto"/>
              <w:ind w:left="0" w:leftChars="0" w:firstLine="0" w:firstLineChars="0"/>
              <w:jc w:val="left"/>
              <w:rPr>
                <w:lang w:bidi="ar"/>
              </w:rPr>
            </w:pPr>
            <w:r>
              <w:rPr>
                <w:rFonts w:ascii="宋体" w:hAnsi="宋体" w:eastAsia="宋体" w:cs="宋体"/>
                <w:color w:val="000000"/>
                <w:sz w:val="24"/>
                <w:szCs w:val="24"/>
                <w:lang w:bidi="ar"/>
              </w:rPr>
              <w:t>3</w:t>
            </w:r>
            <w:r>
              <w:rPr>
                <w:rFonts w:hint="eastAsia" w:ascii="宋体" w:hAnsi="宋体" w:eastAsia="宋体" w:cs="宋体"/>
                <w:color w:val="000000"/>
                <w:sz w:val="24"/>
                <w:szCs w:val="24"/>
                <w:lang w:bidi="ar"/>
              </w:rPr>
              <w:t>.支持定制</w:t>
            </w:r>
            <w:r>
              <w:rPr>
                <w:rFonts w:ascii="宋体" w:hAnsi="宋体" w:eastAsia="宋体" w:cs="宋体"/>
                <w:color w:val="000000"/>
                <w:sz w:val="24"/>
                <w:szCs w:val="24"/>
                <w:lang w:bidi="ar"/>
              </w:rPr>
              <w:t>LOGO</w:t>
            </w:r>
            <w:r>
              <w:rPr>
                <w:rFonts w:hint="eastAsia" w:ascii="宋体" w:hAnsi="宋体" w:eastAsia="宋体" w:cs="宋体"/>
                <w:color w:val="000000"/>
                <w:sz w:val="24"/>
                <w:szCs w:val="24"/>
                <w:lang w:bidi="ar"/>
              </w:rPr>
              <w:t>或其他标识。</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台</w:t>
            </w:r>
          </w:p>
        </w:tc>
      </w:tr>
      <w:tr>
        <w:tblPrEx>
          <w:tblCellMar>
            <w:top w:w="0" w:type="dxa"/>
            <w:left w:w="108" w:type="dxa"/>
            <w:bottom w:w="0" w:type="dxa"/>
            <w:right w:w="108" w:type="dxa"/>
          </w:tblCellMar>
        </w:tblPrEx>
        <w:trPr>
          <w:trHeight w:val="314" w:hRule="atLeast"/>
          <w:jc w:val="center"/>
        </w:trPr>
        <w:tc>
          <w:tcPr>
            <w:tcW w:w="1003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b/>
                <w:bCs/>
                <w:color w:val="000000"/>
                <w:sz w:val="24"/>
                <w:szCs w:val="24"/>
                <w:lang w:bidi="ar"/>
              </w:rPr>
              <w:t>1.2装修改造</w:t>
            </w:r>
          </w:p>
        </w:tc>
      </w:tr>
      <w:tr>
        <w:tblPrEx>
          <w:tblCellMar>
            <w:top w:w="0" w:type="dxa"/>
            <w:left w:w="108" w:type="dxa"/>
            <w:bottom w:w="0" w:type="dxa"/>
            <w:right w:w="108" w:type="dxa"/>
          </w:tblCellMar>
        </w:tblPrEx>
        <w:trPr>
          <w:trHeight w:val="314" w:hRule="atLeast"/>
          <w:jc w:val="center"/>
        </w:trPr>
        <w:tc>
          <w:tcPr>
            <w:tcW w:w="1003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b/>
                <w:bCs/>
                <w:color w:val="000000"/>
                <w:sz w:val="24"/>
                <w:szCs w:val="24"/>
                <w:lang w:bidi="ar"/>
              </w:rPr>
              <w:t>1.2.1拆除工程</w:t>
            </w:r>
          </w:p>
        </w:tc>
      </w:tr>
      <w:tr>
        <w:tblPrEx>
          <w:tblCellMar>
            <w:top w:w="0" w:type="dxa"/>
            <w:left w:w="108" w:type="dxa"/>
            <w:bottom w:w="0" w:type="dxa"/>
            <w:right w:w="108" w:type="dxa"/>
          </w:tblCellMar>
        </w:tblPrEx>
        <w:trPr>
          <w:trHeight w:val="3233"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sz w:val="24"/>
                <w:szCs w:val="24"/>
                <w:lang w:bidi="ar"/>
              </w:rPr>
            </w:pPr>
            <w:r>
              <w:rPr>
                <w:rFonts w:hint="eastAsia" w:ascii="宋体" w:hAnsi="宋体" w:cs="宋体"/>
                <w:sz w:val="24"/>
                <w:szCs w:val="24"/>
                <w:lang w:bidi="ar"/>
              </w:rPr>
              <w:t>拆除杂项</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5"/>
              <w:ind w:firstLine="0" w:firstLineChars="0"/>
              <w:jc w:val="left"/>
              <w:textAlignment w:val="center"/>
              <w:rPr>
                <w:rFonts w:ascii="宋体" w:hAnsi="宋体" w:cs="宋体"/>
                <w:sz w:val="24"/>
                <w:szCs w:val="24"/>
                <w:lang w:bidi="ar"/>
              </w:rPr>
            </w:pPr>
            <w:r>
              <w:rPr>
                <w:rFonts w:ascii="宋体" w:hAnsi="宋体" w:cs="宋体"/>
                <w:sz w:val="24"/>
                <w:szCs w:val="24"/>
                <w:lang w:bidi="ar"/>
              </w:rPr>
              <w:t>1</w:t>
            </w:r>
            <w:r>
              <w:rPr>
                <w:rFonts w:hint="eastAsia" w:ascii="宋体" w:hAnsi="宋体" w:cs="宋体"/>
                <w:sz w:val="24"/>
                <w:szCs w:val="24"/>
                <w:lang w:bidi="ar"/>
              </w:rPr>
              <w:t>.门洞口寸</w:t>
            </w:r>
            <w:r>
              <w:rPr>
                <w:rFonts w:ascii="宋体" w:hAnsi="宋体" w:cs="宋体"/>
                <w:sz w:val="24"/>
                <w:szCs w:val="24"/>
                <w:lang w:bidi="ar"/>
              </w:rPr>
              <w:t>:900*2500</w:t>
            </w:r>
            <w:r>
              <w:rPr>
                <w:rFonts w:hint="eastAsia" w:ascii="宋体" w:hAnsi="宋体" w:cs="宋体"/>
                <w:sz w:val="24"/>
                <w:szCs w:val="24"/>
                <w:lang w:bidi="ar"/>
              </w:rPr>
              <w:t>拆除，并运送到学校指定地点。</w:t>
            </w:r>
          </w:p>
          <w:p>
            <w:pPr>
              <w:pStyle w:val="19"/>
              <w:spacing w:after="0" w:line="240" w:lineRule="auto"/>
              <w:ind w:left="0" w:leftChars="0" w:firstLine="0" w:firstLineChars="0"/>
              <w:jc w:val="left"/>
              <w:rPr>
                <w:rFonts w:ascii="宋体" w:hAnsi="宋体" w:eastAsia="宋体" w:cs="宋体"/>
                <w:color w:val="000000"/>
                <w:sz w:val="24"/>
                <w:szCs w:val="24"/>
                <w:lang w:bidi="ar"/>
              </w:rPr>
            </w:pPr>
            <w:r>
              <w:rPr>
                <w:rFonts w:hint="eastAsia" w:ascii="宋体" w:hAnsi="宋体" w:eastAsia="宋体" w:cs="宋体"/>
                <w:color w:val="000000"/>
                <w:sz w:val="24"/>
                <w:szCs w:val="24"/>
                <w:lang w:bidi="ar"/>
              </w:rPr>
              <w:t>门洞口寸:1400*2500拆除，并运送到学校指定地点。</w:t>
            </w:r>
          </w:p>
          <w:p>
            <w:pPr>
              <w:pStyle w:val="19"/>
              <w:spacing w:after="0" w:line="240" w:lineRule="auto"/>
              <w:ind w:left="0" w:leftChars="0" w:firstLine="0" w:firstLineChars="0"/>
              <w:jc w:val="left"/>
              <w:rPr>
                <w:rFonts w:ascii="宋体" w:hAnsi="宋体" w:eastAsia="宋体" w:cs="宋体"/>
                <w:color w:val="000000"/>
                <w:sz w:val="24"/>
                <w:szCs w:val="24"/>
                <w:lang w:bidi="ar"/>
              </w:rPr>
            </w:pPr>
            <w:r>
              <w:rPr>
                <w:rFonts w:hint="eastAsia" w:ascii="宋体" w:hAnsi="宋体" w:eastAsia="宋体" w:cs="宋体"/>
                <w:color w:val="000000"/>
                <w:sz w:val="24"/>
                <w:szCs w:val="24"/>
                <w:lang w:bidi="ar"/>
              </w:rPr>
              <w:t>2.窗帘及轨道等零星拆除,并运送到学校指定地点。</w:t>
            </w:r>
          </w:p>
          <w:p>
            <w:pPr>
              <w:pStyle w:val="19"/>
              <w:spacing w:after="0" w:line="240" w:lineRule="auto"/>
              <w:ind w:left="0" w:leftChars="0" w:firstLine="0" w:firstLineChars="0"/>
              <w:jc w:val="left"/>
              <w:rPr>
                <w:rFonts w:ascii="宋体" w:hAnsi="宋体" w:eastAsia="宋体" w:cs="宋体"/>
                <w:color w:val="000000"/>
                <w:sz w:val="24"/>
                <w:szCs w:val="24"/>
                <w:lang w:bidi="ar"/>
              </w:rPr>
            </w:pPr>
            <w:r>
              <w:rPr>
                <w:rFonts w:ascii="宋体" w:hAnsi="宋体" w:eastAsia="宋体" w:cs="宋体"/>
                <w:color w:val="000000"/>
                <w:sz w:val="24"/>
                <w:szCs w:val="24"/>
                <w:lang w:bidi="ar"/>
              </w:rPr>
              <w:t>3</w:t>
            </w:r>
            <w:r>
              <w:rPr>
                <w:rFonts w:hint="eastAsia" w:ascii="宋体" w:hAnsi="宋体" w:eastAsia="宋体" w:cs="宋体"/>
                <w:color w:val="000000"/>
                <w:sz w:val="24"/>
                <w:szCs w:val="24"/>
                <w:lang w:bidi="ar"/>
              </w:rPr>
              <w:t>.六台65寸拼接屏及支架拆除，搬运至校方制定地点。</w:t>
            </w:r>
          </w:p>
          <w:p>
            <w:pPr>
              <w:pStyle w:val="19"/>
              <w:spacing w:after="0" w:line="240" w:lineRule="auto"/>
              <w:ind w:left="0" w:leftChars="0" w:firstLine="0" w:firstLineChars="0"/>
              <w:jc w:val="left"/>
              <w:rPr>
                <w:rFonts w:ascii="宋体" w:hAnsi="宋体" w:eastAsia="宋体" w:cs="宋体"/>
                <w:color w:val="000000"/>
                <w:sz w:val="24"/>
                <w:szCs w:val="24"/>
                <w:lang w:bidi="ar"/>
              </w:rPr>
            </w:pPr>
            <w:r>
              <w:rPr>
                <w:rFonts w:hint="eastAsia" w:ascii="宋体" w:hAnsi="宋体" w:eastAsia="宋体" w:cs="宋体"/>
                <w:color w:val="000000"/>
                <w:sz w:val="24"/>
                <w:szCs w:val="24"/>
                <w:lang w:bidi="ar"/>
              </w:rPr>
              <w:t>原矿棉板吊顶拆除、清运至校方指定地点</w:t>
            </w:r>
          </w:p>
          <w:p>
            <w:pPr>
              <w:pStyle w:val="19"/>
              <w:spacing w:after="0" w:line="240" w:lineRule="auto"/>
              <w:ind w:left="0" w:leftChars="0" w:firstLine="0" w:firstLineChars="0"/>
              <w:jc w:val="left"/>
              <w:rPr>
                <w:rFonts w:ascii="宋体" w:hAnsi="宋体" w:eastAsia="宋体" w:cs="宋体"/>
                <w:color w:val="000000"/>
                <w:sz w:val="24"/>
                <w:szCs w:val="24"/>
                <w:lang w:bidi="ar"/>
              </w:rPr>
            </w:pPr>
            <w:r>
              <w:rPr>
                <w:rFonts w:ascii="宋体" w:hAnsi="宋体" w:eastAsia="宋体" w:cs="宋体"/>
                <w:color w:val="000000"/>
                <w:sz w:val="24"/>
                <w:szCs w:val="24"/>
                <w:lang w:bidi="ar"/>
              </w:rPr>
              <w:t>4</w:t>
            </w:r>
            <w:r>
              <w:rPr>
                <w:rFonts w:hint="eastAsia" w:ascii="宋体" w:hAnsi="宋体" w:eastAsia="宋体" w:cs="宋体"/>
                <w:color w:val="000000"/>
                <w:sz w:val="24"/>
                <w:szCs w:val="24"/>
                <w:lang w:bidi="ar"/>
              </w:rPr>
              <w:t>.数据中心与配电房之间隔墙拆除。</w:t>
            </w:r>
          </w:p>
          <w:p>
            <w:pPr>
              <w:pStyle w:val="19"/>
              <w:spacing w:after="0" w:line="240" w:lineRule="auto"/>
              <w:ind w:left="0" w:leftChars="0" w:firstLine="0" w:firstLineChars="0"/>
              <w:jc w:val="left"/>
              <w:rPr>
                <w:rFonts w:ascii="宋体" w:hAnsi="宋体" w:eastAsia="宋体" w:cs="宋体"/>
                <w:color w:val="000000"/>
                <w:sz w:val="24"/>
                <w:szCs w:val="24"/>
                <w:lang w:bidi="ar"/>
              </w:rPr>
            </w:pPr>
            <w:r>
              <w:rPr>
                <w:rFonts w:ascii="宋体" w:hAnsi="宋体" w:eastAsia="宋体" w:cs="宋体"/>
                <w:color w:val="000000"/>
                <w:sz w:val="24"/>
                <w:szCs w:val="24"/>
                <w:lang w:bidi="ar"/>
              </w:rPr>
              <w:t>5</w:t>
            </w:r>
            <w:r>
              <w:rPr>
                <w:rFonts w:hint="eastAsia" w:ascii="宋体" w:hAnsi="宋体" w:eastAsia="宋体" w:cs="宋体"/>
                <w:color w:val="000000"/>
                <w:sz w:val="24"/>
                <w:szCs w:val="24"/>
                <w:lang w:bidi="ar"/>
              </w:rPr>
              <w:t>.原墙面腻子基层铲除至水泥砂浆层。</w:t>
            </w:r>
          </w:p>
          <w:p>
            <w:pPr>
              <w:pStyle w:val="19"/>
              <w:spacing w:after="0" w:line="240" w:lineRule="auto"/>
              <w:ind w:left="0" w:leftChars="0" w:firstLine="0" w:firstLineChars="0"/>
              <w:jc w:val="left"/>
              <w:rPr>
                <w:rFonts w:ascii="宋体" w:hAnsi="宋体" w:eastAsia="宋体" w:cs="宋体"/>
                <w:color w:val="000000"/>
                <w:sz w:val="24"/>
                <w:szCs w:val="24"/>
                <w:lang w:bidi="ar"/>
              </w:rPr>
            </w:pPr>
            <w:r>
              <w:rPr>
                <w:rFonts w:ascii="宋体" w:hAnsi="宋体" w:eastAsia="宋体" w:cs="宋体"/>
                <w:color w:val="000000"/>
                <w:sz w:val="24"/>
                <w:szCs w:val="24"/>
                <w:lang w:bidi="ar"/>
              </w:rPr>
              <w:t>6</w:t>
            </w:r>
            <w:r>
              <w:rPr>
                <w:rFonts w:hint="eastAsia" w:ascii="宋体" w:hAnsi="宋体" w:eastAsia="宋体" w:cs="宋体"/>
                <w:color w:val="000000"/>
                <w:sz w:val="24"/>
                <w:szCs w:val="24"/>
                <w:lang w:bidi="ar"/>
              </w:rPr>
              <w:t>.原有灯具拆除，运至甲方指定地点。</w:t>
            </w:r>
          </w:p>
          <w:p>
            <w:pPr>
              <w:pStyle w:val="19"/>
              <w:spacing w:after="0" w:line="240" w:lineRule="auto"/>
              <w:ind w:left="0" w:leftChars="0" w:firstLine="0" w:firstLineChars="0"/>
              <w:jc w:val="left"/>
              <w:rPr>
                <w:color w:val="auto"/>
                <w:lang w:bidi="ar"/>
              </w:rPr>
            </w:pPr>
            <w:r>
              <w:rPr>
                <w:rFonts w:ascii="宋体" w:hAnsi="宋体" w:eastAsia="宋体" w:cs="宋体"/>
                <w:color w:val="000000"/>
                <w:sz w:val="24"/>
                <w:szCs w:val="24"/>
                <w:lang w:bidi="ar"/>
              </w:rPr>
              <w:t>7</w:t>
            </w:r>
            <w:r>
              <w:rPr>
                <w:rFonts w:hint="eastAsia" w:ascii="宋体" w:hAnsi="宋体" w:eastAsia="宋体" w:cs="宋体"/>
                <w:color w:val="000000"/>
                <w:sz w:val="24"/>
                <w:szCs w:val="24"/>
                <w:lang w:bidi="ar"/>
              </w:rPr>
              <w:t>.原有摄像机、明线管、灯电线、室内杂物等拆除运至甲方指定地点。</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项</w:t>
            </w:r>
          </w:p>
        </w:tc>
      </w:tr>
      <w:tr>
        <w:tblPrEx>
          <w:tblCellMar>
            <w:top w:w="0" w:type="dxa"/>
            <w:left w:w="108" w:type="dxa"/>
            <w:bottom w:w="0" w:type="dxa"/>
            <w:right w:w="108" w:type="dxa"/>
          </w:tblCellMar>
        </w:tblPrEx>
        <w:trPr>
          <w:trHeight w:val="314" w:hRule="atLeast"/>
          <w:jc w:val="center"/>
        </w:trPr>
        <w:tc>
          <w:tcPr>
            <w:tcW w:w="1003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b/>
                <w:bCs/>
                <w:color w:val="000000"/>
                <w:sz w:val="24"/>
                <w:szCs w:val="24"/>
                <w:lang w:bidi="ar"/>
              </w:rPr>
              <w:t>1.2.2出新工程</w:t>
            </w:r>
          </w:p>
        </w:tc>
      </w:tr>
      <w:tr>
        <w:tblPrEx>
          <w:tblCellMar>
            <w:top w:w="0" w:type="dxa"/>
            <w:left w:w="108" w:type="dxa"/>
            <w:bottom w:w="0" w:type="dxa"/>
            <w:right w:w="108" w:type="dxa"/>
          </w:tblCellMar>
        </w:tblPrEx>
        <w:trPr>
          <w:trHeight w:val="921"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水泥砂浆基层找平，水泥自流平</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1.水泥砂浆基层找平，2.5mm厚建筑胶水泥基自流平砂浆地面。</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116.1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平方</w:t>
            </w:r>
          </w:p>
        </w:tc>
      </w:tr>
      <w:tr>
        <w:tblPrEx>
          <w:tblCellMar>
            <w:top w:w="0" w:type="dxa"/>
            <w:left w:w="108" w:type="dxa"/>
            <w:bottom w:w="0" w:type="dxa"/>
            <w:right w:w="108" w:type="dxa"/>
          </w:tblCellMar>
        </w:tblPrEx>
        <w:trPr>
          <w:trHeight w:val="122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PVC地胶</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1.面层材料品种、规格：2mm浅蓝色同质透心PVC地胶，无方向性克重≤2850，耐磨达到T级，防火达到B1级；</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2.施工时保证PVC地胶接缝处无瑕疵。</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116.1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平方</w:t>
            </w:r>
          </w:p>
        </w:tc>
      </w:tr>
      <w:tr>
        <w:tblPrEx>
          <w:tblCellMar>
            <w:top w:w="0" w:type="dxa"/>
            <w:left w:w="108" w:type="dxa"/>
            <w:bottom w:w="0" w:type="dxa"/>
            <w:right w:w="108" w:type="dxa"/>
          </w:tblCellMar>
        </w:tblPrEx>
        <w:trPr>
          <w:trHeight w:val="122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3</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100不锈钢踢脚线</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1.踢脚线高度:100mm；</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2.基层材料种类、规格:不锈钢；</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3.面层材料品种、规格、颜色:白色304不锈钢1mm厚。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34.8</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米</w:t>
            </w:r>
          </w:p>
        </w:tc>
      </w:tr>
      <w:tr>
        <w:tblPrEx>
          <w:tblCellMar>
            <w:top w:w="0" w:type="dxa"/>
            <w:left w:w="108" w:type="dxa"/>
            <w:bottom w:w="0" w:type="dxa"/>
            <w:right w:w="108" w:type="dxa"/>
          </w:tblCellMar>
        </w:tblPrEx>
        <w:trPr>
          <w:trHeight w:val="1529"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4</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墙面喷刷涂料</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1.腻子种类:901胶混合腻子；</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2.刮腻子遍数:一底两面；</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3.油漆品种、刷漆遍数：乳胶漆2遍；</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4.部位:墙面；</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5.颜色：白色。</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105.6</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平方</w:t>
            </w:r>
          </w:p>
        </w:tc>
      </w:tr>
      <w:tr>
        <w:tblPrEx>
          <w:tblCellMar>
            <w:top w:w="0" w:type="dxa"/>
            <w:left w:w="108" w:type="dxa"/>
            <w:bottom w:w="0" w:type="dxa"/>
            <w:right w:w="108" w:type="dxa"/>
          </w:tblCellMar>
        </w:tblPrEx>
        <w:trPr>
          <w:trHeight w:val="356"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5</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教室门更换（单开）</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1.门代号及洞口尺寸:900*2500；</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2.木质门，含门套、智能门锁及其他五金配件。</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樘</w:t>
            </w:r>
          </w:p>
        </w:tc>
      </w:tr>
      <w:tr>
        <w:tblPrEx>
          <w:tblCellMar>
            <w:top w:w="0" w:type="dxa"/>
            <w:left w:w="108" w:type="dxa"/>
            <w:bottom w:w="0" w:type="dxa"/>
            <w:right w:w="108" w:type="dxa"/>
          </w:tblCellMar>
        </w:tblPrEx>
        <w:trPr>
          <w:trHeight w:val="416"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6</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教室门更换（双开）</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
              </w:num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门代号及洞口尺寸:1400*2500；</w:t>
            </w:r>
          </w:p>
          <w:p>
            <w:pPr>
              <w:numPr>
                <w:ilvl w:val="0"/>
                <w:numId w:val="4"/>
              </w:num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木质门，含门套、智能门锁及其他五金配件。</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樘</w:t>
            </w:r>
          </w:p>
        </w:tc>
      </w:tr>
      <w:tr>
        <w:tblPrEx>
          <w:tblCellMar>
            <w:top w:w="0" w:type="dxa"/>
            <w:left w:w="108" w:type="dxa"/>
            <w:bottom w:w="0" w:type="dxa"/>
            <w:right w:w="108" w:type="dxa"/>
          </w:tblCellMar>
        </w:tblPrEx>
        <w:trPr>
          <w:trHeight w:val="386"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7</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窗帘盒制作</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1.窗帘盒材质、规格:200*200mm窗帘盒；</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2.18mm多层板，9.5mm纸面石膏板刷白色乳胶漆。</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21.4</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米</w:t>
            </w:r>
          </w:p>
        </w:tc>
      </w:tr>
      <w:tr>
        <w:tblPrEx>
          <w:tblCellMar>
            <w:top w:w="0" w:type="dxa"/>
            <w:left w:w="108" w:type="dxa"/>
            <w:bottom w:w="0" w:type="dxa"/>
            <w:right w:w="108" w:type="dxa"/>
          </w:tblCellMar>
        </w:tblPrEx>
        <w:trPr>
          <w:trHeight w:val="617"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8</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窗帘</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1.窗帘材质:全遮光；</w:t>
            </w:r>
          </w:p>
          <w:p>
            <w:pPr>
              <w:jc w:val="left"/>
              <w:textAlignment w:val="center"/>
              <w:rPr>
                <w:rFonts w:ascii="宋体" w:hAnsi="宋体" w:cs="宋体"/>
                <w:sz w:val="24"/>
                <w:szCs w:val="24"/>
                <w:lang w:bidi="ar"/>
              </w:rPr>
            </w:pPr>
            <w:r>
              <w:rPr>
                <w:rFonts w:hint="eastAsia" w:ascii="宋体" w:hAnsi="宋体" w:cs="宋体"/>
                <w:color w:val="000000"/>
                <w:sz w:val="24"/>
                <w:szCs w:val="24"/>
                <w:lang w:bidi="ar"/>
              </w:rPr>
              <w:t>2.窗帘颜色:待选。</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21.4</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米</w:t>
            </w:r>
          </w:p>
        </w:tc>
      </w:tr>
      <w:tr>
        <w:tblPrEx>
          <w:tblCellMar>
            <w:top w:w="0" w:type="dxa"/>
            <w:left w:w="108" w:type="dxa"/>
            <w:bottom w:w="0" w:type="dxa"/>
            <w:right w:w="108" w:type="dxa"/>
          </w:tblCellMar>
        </w:tblPrEx>
        <w:trPr>
          <w:trHeight w:val="921"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9</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石膏板吊顶</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1.φ8全螺吊杆楼板固定；</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2.50系列轻钢龙骨；</w:t>
            </w:r>
          </w:p>
          <w:p>
            <w:pPr>
              <w:jc w:val="left"/>
              <w:textAlignment w:val="center"/>
              <w:rPr>
                <w:rFonts w:ascii="宋体" w:hAnsi="宋体" w:cs="宋体"/>
                <w:sz w:val="24"/>
                <w:szCs w:val="24"/>
                <w:lang w:bidi="ar"/>
              </w:rPr>
            </w:pPr>
            <w:r>
              <w:rPr>
                <w:rFonts w:hint="eastAsia" w:ascii="宋体" w:hAnsi="宋体" w:cs="宋体"/>
                <w:color w:val="000000"/>
                <w:sz w:val="24"/>
                <w:szCs w:val="24"/>
                <w:lang w:bidi="ar"/>
              </w:rPr>
              <w:t>3.双层9.5mm厚石膏板。</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116.1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平方</w:t>
            </w:r>
          </w:p>
        </w:tc>
      </w:tr>
      <w:tr>
        <w:tblPrEx>
          <w:tblCellMar>
            <w:top w:w="0" w:type="dxa"/>
            <w:left w:w="108" w:type="dxa"/>
            <w:bottom w:w="0" w:type="dxa"/>
            <w:right w:w="108" w:type="dxa"/>
          </w:tblCellMar>
        </w:tblPrEx>
        <w:trPr>
          <w:trHeight w:val="1529"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10</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顶面喷刷涂料</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 xml:space="preserve">1.腻子种类:901胶混合腻子； </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 xml:space="preserve">2.刮腻子遍数:一底两面；     </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3.油漆品种、刷漆遍数：乳胶漆2遍；</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4.部位:墙面；</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5.颜色：白色。</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116.1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平方</w:t>
            </w:r>
          </w:p>
        </w:tc>
      </w:tr>
      <w:tr>
        <w:tblPrEx>
          <w:tblCellMar>
            <w:top w:w="0" w:type="dxa"/>
            <w:left w:w="108" w:type="dxa"/>
            <w:bottom w:w="0" w:type="dxa"/>
            <w:right w:w="108" w:type="dxa"/>
          </w:tblCellMar>
        </w:tblPrEx>
        <w:trPr>
          <w:trHeight w:val="31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11</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矮柜</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1.1600*400*800，E1级三聚氰胺板材。</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8</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只</w:t>
            </w:r>
          </w:p>
        </w:tc>
      </w:tr>
      <w:tr>
        <w:tblPrEx>
          <w:tblCellMar>
            <w:top w:w="0" w:type="dxa"/>
            <w:left w:w="108" w:type="dxa"/>
            <w:bottom w:w="0" w:type="dxa"/>
            <w:right w:w="108" w:type="dxa"/>
          </w:tblCellMar>
        </w:tblPrEx>
        <w:trPr>
          <w:trHeight w:val="31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12</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隔音玻璃</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1.真空双层。</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25</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平方</w:t>
            </w:r>
          </w:p>
        </w:tc>
      </w:tr>
      <w:tr>
        <w:tblPrEx>
          <w:tblCellMar>
            <w:top w:w="0" w:type="dxa"/>
            <w:left w:w="108" w:type="dxa"/>
            <w:bottom w:w="0" w:type="dxa"/>
            <w:right w:w="108" w:type="dxa"/>
          </w:tblCellMar>
        </w:tblPrEx>
        <w:trPr>
          <w:trHeight w:val="314" w:hRule="atLeast"/>
          <w:jc w:val="center"/>
        </w:trPr>
        <w:tc>
          <w:tcPr>
            <w:tcW w:w="1003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b/>
                <w:bCs/>
                <w:color w:val="000000"/>
                <w:sz w:val="24"/>
                <w:szCs w:val="24"/>
                <w:lang w:bidi="ar"/>
              </w:rPr>
              <w:t>1.2.3装饰墙面</w:t>
            </w:r>
          </w:p>
        </w:tc>
      </w:tr>
      <w:tr>
        <w:tblPrEx>
          <w:tblCellMar>
            <w:top w:w="0" w:type="dxa"/>
            <w:left w:w="108" w:type="dxa"/>
            <w:bottom w:w="0" w:type="dxa"/>
            <w:right w:w="108" w:type="dxa"/>
          </w:tblCellMar>
        </w:tblPrEx>
        <w:trPr>
          <w:trHeight w:val="756"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sz w:val="24"/>
                <w:szCs w:val="24"/>
                <w:lang w:bidi="ar"/>
              </w:rPr>
            </w:pPr>
            <w:r>
              <w:rPr>
                <w:rFonts w:hint="eastAsia" w:ascii="宋体" w:hAnsi="宋体" w:cs="宋体"/>
                <w:sz w:val="24"/>
                <w:szCs w:val="24"/>
                <w:lang w:bidi="ar"/>
              </w:rPr>
              <w:t>文化墙</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szCs w:val="24"/>
                <w:lang w:bidi="ar"/>
              </w:rPr>
            </w:pPr>
            <w:r>
              <w:rPr>
                <w:rFonts w:hint="eastAsia" w:ascii="宋体" w:hAnsi="宋体" w:cs="宋体"/>
                <w:sz w:val="24"/>
                <w:szCs w:val="24"/>
                <w:lang w:bidi="ar"/>
              </w:rPr>
              <w:t>1.木饰面，铝单板分色，亚克力广告字；</w:t>
            </w:r>
          </w:p>
          <w:p>
            <w:pPr>
              <w:jc w:val="left"/>
              <w:textAlignment w:val="center"/>
              <w:rPr>
                <w:rFonts w:ascii="宋体" w:hAnsi="宋体" w:cs="宋体"/>
                <w:sz w:val="24"/>
                <w:szCs w:val="24"/>
                <w:lang w:bidi="ar"/>
              </w:rPr>
            </w:pPr>
            <w:r>
              <w:rPr>
                <w:rFonts w:hint="eastAsia" w:ascii="宋体" w:hAnsi="宋体" w:cs="宋体"/>
                <w:sz w:val="24"/>
                <w:szCs w:val="24"/>
                <w:lang w:bidi="ar"/>
              </w:rPr>
              <w:t>2.元素及风格施工时提供给甲方确认。</w:t>
            </w:r>
          </w:p>
          <w:p>
            <w:pPr>
              <w:pStyle w:val="19"/>
              <w:spacing w:after="0"/>
              <w:ind w:left="0" w:leftChars="0" w:firstLine="0" w:firstLineChars="0"/>
              <w:rPr>
                <w:rFonts w:ascii="宋体" w:hAnsi="宋体"/>
                <w:color w:val="auto"/>
                <w:sz w:val="24"/>
                <w:szCs w:val="24"/>
                <w:lang w:bidi="ar"/>
              </w:rPr>
            </w:pPr>
            <w:r>
              <w:rPr>
                <w:rFonts w:ascii="宋体" w:hAnsi="宋体" w:eastAsia="宋体"/>
                <w:color w:val="auto"/>
                <w:sz w:val="24"/>
                <w:szCs w:val="24"/>
                <w:lang w:bidi="ar"/>
              </w:rPr>
              <w:t>3.</w:t>
            </w:r>
            <w:r>
              <w:rPr>
                <w:rFonts w:hint="eastAsia" w:ascii="宋体" w:hAnsi="宋体" w:eastAsia="宋体"/>
                <w:color w:val="auto"/>
                <w:sz w:val="24"/>
                <w:szCs w:val="24"/>
                <w:lang w:bidi="ar"/>
              </w:rPr>
              <w:t>北侧窗户封堵。</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ascii="宋体" w:hAnsi="宋体" w:cs="宋体"/>
                <w:color w:val="000000"/>
                <w:sz w:val="24"/>
                <w:szCs w:val="24"/>
                <w:lang w:bidi="ar"/>
              </w:rPr>
              <w:t>56.2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平方</w:t>
            </w:r>
          </w:p>
        </w:tc>
      </w:tr>
      <w:tr>
        <w:tblPrEx>
          <w:tblCellMar>
            <w:top w:w="0" w:type="dxa"/>
            <w:left w:w="108" w:type="dxa"/>
            <w:bottom w:w="0" w:type="dxa"/>
            <w:right w:w="108" w:type="dxa"/>
          </w:tblCellMar>
        </w:tblPrEx>
        <w:trPr>
          <w:trHeight w:val="314" w:hRule="atLeast"/>
          <w:jc w:val="center"/>
        </w:trPr>
        <w:tc>
          <w:tcPr>
            <w:tcW w:w="1003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b/>
                <w:bCs/>
                <w:sz w:val="24"/>
                <w:szCs w:val="24"/>
              </w:rPr>
              <w:t>1.2.4安装工程</w:t>
            </w:r>
          </w:p>
        </w:tc>
      </w:tr>
      <w:tr>
        <w:tblPrEx>
          <w:tblCellMar>
            <w:top w:w="0" w:type="dxa"/>
            <w:left w:w="108" w:type="dxa"/>
            <w:bottom w:w="0" w:type="dxa"/>
            <w:right w:w="108" w:type="dxa"/>
          </w:tblCellMar>
        </w:tblPrEx>
        <w:trPr>
          <w:trHeight w:val="921"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LED平板灯</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 xml:space="preserve">1.光电参数：≥36W 5000K  Ra90。 </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2.其他：≥L600*W600*H65（mm）电镀格栅 T型龙骨。</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套</w:t>
            </w:r>
          </w:p>
        </w:tc>
      </w:tr>
      <w:tr>
        <w:tblPrEx>
          <w:tblCellMar>
            <w:top w:w="0" w:type="dxa"/>
            <w:left w:w="108" w:type="dxa"/>
            <w:bottom w:w="0" w:type="dxa"/>
            <w:right w:w="108" w:type="dxa"/>
          </w:tblCellMar>
        </w:tblPrEx>
        <w:trPr>
          <w:trHeight w:val="617"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开关面板</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1.名称:四联扳式暗开关；</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2.规格:86H。</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617"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3</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五孔插座（10A）</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1.名称:5孔插座；</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2.规格:10A。</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6</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31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4</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强电地插</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1.5孔10A。</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31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5</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多媒体地插</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1.含视音频模块、网络模块。</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31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6</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信息插座</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1.网络插座，距地0.3m。</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31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7</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空气开关</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1.C32/4P，LED屏电源控制。</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1833"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8</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空调</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w:t>
            </w:r>
            <w:r>
              <w:rPr>
                <w:rFonts w:ascii="宋体" w:hAnsi="宋体" w:cs="宋体"/>
                <w:color w:val="000000"/>
                <w:sz w:val="24"/>
                <w:szCs w:val="24"/>
                <w:lang w:bidi="ar"/>
              </w:rPr>
              <w:t>.</w:t>
            </w:r>
            <w:r>
              <w:rPr>
                <w:rFonts w:hint="eastAsia" w:ascii="宋体" w:hAnsi="宋体"/>
                <w:sz w:val="24"/>
                <w:szCs w:val="24"/>
                <w:highlight w:val="none"/>
              </w:rPr>
              <w:t>采用美的、格力、大金等同档次品牌</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2</w:t>
            </w:r>
            <w:r>
              <w:rPr>
                <w:rFonts w:hint="eastAsia" w:ascii="宋体" w:hAnsi="宋体" w:cs="宋体"/>
                <w:color w:val="000000"/>
                <w:sz w:val="24"/>
                <w:szCs w:val="24"/>
                <w:lang w:bidi="ar"/>
              </w:rPr>
              <w:t>.</w:t>
            </w:r>
            <w:r>
              <w:rPr>
                <w:rFonts w:ascii="宋体" w:hAnsi="宋体" w:cs="宋体"/>
                <w:color w:val="000000"/>
                <w:sz w:val="24"/>
                <w:szCs w:val="24"/>
                <w:lang w:bidi="ar"/>
              </w:rPr>
              <w:t>5</w:t>
            </w:r>
            <w:r>
              <w:rPr>
                <w:rFonts w:hint="eastAsia" w:ascii="宋体" w:hAnsi="宋体" w:cs="宋体"/>
                <w:color w:val="000000"/>
                <w:sz w:val="24"/>
                <w:szCs w:val="24"/>
                <w:lang w:bidi="ar"/>
              </w:rPr>
              <w:t>匹吸顶机</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3</w:t>
            </w:r>
            <w:r>
              <w:rPr>
                <w:rFonts w:hint="eastAsia" w:ascii="宋体" w:hAnsi="宋体" w:cs="宋体"/>
                <w:color w:val="000000"/>
                <w:sz w:val="24"/>
                <w:szCs w:val="24"/>
                <w:lang w:bidi="ar"/>
              </w:rPr>
              <w:t>.循环风量≥</w:t>
            </w:r>
            <w:r>
              <w:rPr>
                <w:rFonts w:ascii="宋体" w:hAnsi="宋体" w:cs="宋体"/>
                <w:color w:val="000000"/>
                <w:sz w:val="24"/>
                <w:szCs w:val="24"/>
                <w:lang w:bidi="ar"/>
              </w:rPr>
              <w:t>2050m³/h</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4</w:t>
            </w:r>
            <w:r>
              <w:rPr>
                <w:rFonts w:hint="eastAsia" w:ascii="宋体" w:hAnsi="宋体" w:cs="宋体"/>
                <w:color w:val="000000"/>
                <w:sz w:val="24"/>
                <w:szCs w:val="24"/>
                <w:lang w:bidi="ar"/>
              </w:rPr>
              <w:t>.支持电辅加热，电辅加热功率≥3</w:t>
            </w:r>
            <w:r>
              <w:rPr>
                <w:rFonts w:ascii="宋体" w:hAnsi="宋体" w:cs="宋体"/>
                <w:color w:val="000000"/>
                <w:sz w:val="24"/>
                <w:szCs w:val="24"/>
                <w:lang w:bidi="ar"/>
              </w:rPr>
              <w:t>500</w:t>
            </w:r>
            <w:r>
              <w:rPr>
                <w:rFonts w:hint="eastAsia" w:ascii="宋体" w:hAnsi="宋体" w:cs="宋体"/>
                <w:color w:val="000000"/>
                <w:sz w:val="24"/>
                <w:szCs w:val="24"/>
                <w:lang w:bidi="ar"/>
              </w:rPr>
              <w:t>W</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5</w:t>
            </w:r>
            <w:r>
              <w:rPr>
                <w:rFonts w:hint="eastAsia" w:ascii="宋体" w:hAnsi="宋体" w:cs="宋体"/>
                <w:color w:val="000000"/>
                <w:sz w:val="24"/>
                <w:szCs w:val="24"/>
                <w:lang w:bidi="ar"/>
              </w:rPr>
              <w:t>.制热量≥</w:t>
            </w:r>
            <w:r>
              <w:rPr>
                <w:rFonts w:ascii="宋体" w:hAnsi="宋体" w:cs="宋体"/>
                <w:color w:val="000000"/>
                <w:sz w:val="24"/>
                <w:szCs w:val="24"/>
                <w:lang w:bidi="ar"/>
              </w:rPr>
              <w:t>13810W</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6</w:t>
            </w:r>
            <w:r>
              <w:rPr>
                <w:rFonts w:hint="eastAsia" w:ascii="宋体" w:hAnsi="宋体" w:cs="宋体"/>
                <w:color w:val="000000"/>
                <w:sz w:val="24"/>
                <w:szCs w:val="24"/>
                <w:lang w:bidi="ar"/>
              </w:rPr>
              <w:t>.制冷量≥</w:t>
            </w:r>
            <w:r>
              <w:rPr>
                <w:rFonts w:ascii="宋体" w:hAnsi="宋体" w:cs="宋体"/>
                <w:color w:val="000000"/>
                <w:sz w:val="24"/>
                <w:szCs w:val="24"/>
                <w:lang w:bidi="ar"/>
              </w:rPr>
              <w:t>12110W</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台</w:t>
            </w:r>
          </w:p>
        </w:tc>
      </w:tr>
      <w:tr>
        <w:tblPrEx>
          <w:tblCellMar>
            <w:top w:w="0" w:type="dxa"/>
            <w:left w:w="108" w:type="dxa"/>
            <w:bottom w:w="0" w:type="dxa"/>
            <w:right w:w="108" w:type="dxa"/>
          </w:tblCellMar>
        </w:tblPrEx>
        <w:trPr>
          <w:trHeight w:val="31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ascii="宋体" w:hAnsi="宋体" w:cs="宋体"/>
                <w:color w:val="000000"/>
                <w:sz w:val="24"/>
                <w:szCs w:val="24"/>
                <w:lang w:bidi="ar"/>
              </w:rPr>
              <w:t>9</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配管</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1.砖、混凝土结构暗配电线管DN25。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122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米</w:t>
            </w:r>
          </w:p>
        </w:tc>
      </w:tr>
      <w:tr>
        <w:tblPrEx>
          <w:tblCellMar>
            <w:top w:w="0" w:type="dxa"/>
            <w:left w:w="108" w:type="dxa"/>
            <w:bottom w:w="0" w:type="dxa"/>
            <w:right w:w="108" w:type="dxa"/>
          </w:tblCellMar>
        </w:tblPrEx>
        <w:trPr>
          <w:trHeight w:val="31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ascii="宋体" w:hAnsi="宋体" w:cs="宋体"/>
                <w:color w:val="000000"/>
                <w:sz w:val="24"/>
                <w:szCs w:val="24"/>
                <w:lang w:bidi="ar"/>
              </w:rPr>
              <w:t>10</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配线</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1.操作台供电：4mm2。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51.2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米</w:t>
            </w:r>
          </w:p>
        </w:tc>
      </w:tr>
      <w:tr>
        <w:tblPrEx>
          <w:tblCellMar>
            <w:top w:w="0" w:type="dxa"/>
            <w:left w:w="108" w:type="dxa"/>
            <w:bottom w:w="0" w:type="dxa"/>
            <w:right w:w="108" w:type="dxa"/>
          </w:tblCellMar>
        </w:tblPrEx>
        <w:trPr>
          <w:trHeight w:val="31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r>
              <w:rPr>
                <w:rFonts w:ascii="宋体" w:hAnsi="宋体" w:cs="宋体"/>
                <w:color w:val="000000"/>
                <w:sz w:val="24"/>
                <w:szCs w:val="24"/>
                <w:lang w:bidi="ar"/>
              </w:rPr>
              <w:t>1</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配线</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1.管内穿照明、插座：2.5mm2。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366</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米</w:t>
            </w:r>
          </w:p>
        </w:tc>
      </w:tr>
      <w:tr>
        <w:tblPrEx>
          <w:tblCellMar>
            <w:top w:w="0" w:type="dxa"/>
            <w:left w:w="108" w:type="dxa"/>
            <w:bottom w:w="0" w:type="dxa"/>
            <w:right w:w="108" w:type="dxa"/>
          </w:tblCellMar>
        </w:tblPrEx>
        <w:trPr>
          <w:trHeight w:val="31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r>
              <w:rPr>
                <w:rFonts w:ascii="宋体" w:hAnsi="宋体" w:cs="宋体"/>
                <w:color w:val="000000"/>
                <w:sz w:val="24"/>
                <w:szCs w:val="24"/>
                <w:lang w:bidi="ar"/>
              </w:rPr>
              <w:t>2</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开槽</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1.墙面开槽：5CM宽。</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14</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米</w:t>
            </w:r>
          </w:p>
        </w:tc>
      </w:tr>
      <w:tr>
        <w:tblPrEx>
          <w:tblCellMar>
            <w:top w:w="0" w:type="dxa"/>
            <w:left w:w="108" w:type="dxa"/>
            <w:bottom w:w="0" w:type="dxa"/>
            <w:right w:w="108" w:type="dxa"/>
          </w:tblCellMar>
        </w:tblPrEx>
        <w:trPr>
          <w:trHeight w:val="314" w:hRule="atLeast"/>
          <w:jc w:val="center"/>
        </w:trPr>
        <w:tc>
          <w:tcPr>
            <w:tcW w:w="1003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4"/>
                <w:szCs w:val="24"/>
                <w:lang w:bidi="ar"/>
              </w:rPr>
            </w:pPr>
            <w:r>
              <w:rPr>
                <w:rFonts w:hint="eastAsia" w:ascii="宋体" w:hAnsi="宋体" w:cs="宋体"/>
                <w:b/>
                <w:bCs/>
                <w:color w:val="000000"/>
                <w:sz w:val="24"/>
                <w:szCs w:val="24"/>
                <w:lang w:bidi="ar"/>
              </w:rPr>
              <w:t>二、广播级录播教室</w:t>
            </w:r>
          </w:p>
        </w:tc>
      </w:tr>
      <w:tr>
        <w:tblPrEx>
          <w:tblCellMar>
            <w:top w:w="0" w:type="dxa"/>
            <w:left w:w="108" w:type="dxa"/>
            <w:bottom w:w="0" w:type="dxa"/>
            <w:right w:w="108" w:type="dxa"/>
          </w:tblCellMar>
        </w:tblPrEx>
        <w:trPr>
          <w:trHeight w:val="314" w:hRule="atLeast"/>
          <w:jc w:val="center"/>
        </w:trPr>
        <w:tc>
          <w:tcPr>
            <w:tcW w:w="1003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4"/>
                <w:szCs w:val="24"/>
                <w:lang w:bidi="ar"/>
              </w:rPr>
            </w:pPr>
            <w:r>
              <w:rPr>
                <w:rFonts w:hint="eastAsia" w:ascii="宋体" w:hAnsi="宋体" w:cs="宋体"/>
                <w:b/>
                <w:bCs/>
                <w:sz w:val="24"/>
                <w:szCs w:val="24"/>
              </w:rPr>
              <w:t>2.1设备清单</w:t>
            </w:r>
          </w:p>
        </w:tc>
      </w:tr>
      <w:tr>
        <w:tblPrEx>
          <w:tblCellMar>
            <w:top w:w="0" w:type="dxa"/>
            <w:left w:w="108" w:type="dxa"/>
            <w:bottom w:w="0" w:type="dxa"/>
            <w:right w:w="108" w:type="dxa"/>
          </w:tblCellMar>
        </w:tblPrEx>
        <w:trPr>
          <w:trHeight w:val="323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1</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三拼一体机</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三屏必须各自都支持参数1-</w:t>
            </w:r>
            <w:r>
              <w:rPr>
                <w:rFonts w:ascii="宋体" w:hAnsi="宋体" w:cs="宋体"/>
                <w:color w:val="000000"/>
                <w:sz w:val="24"/>
                <w:szCs w:val="24"/>
                <w:lang w:bidi="ar"/>
              </w:rPr>
              <w:t>9</w:t>
            </w:r>
            <w:r>
              <w:rPr>
                <w:rFonts w:hint="eastAsia" w:ascii="宋体" w:hAnsi="宋体" w:cs="宋体"/>
                <w:color w:val="000000"/>
                <w:sz w:val="24"/>
                <w:szCs w:val="24"/>
                <w:lang w:bidi="ar"/>
              </w:rPr>
              <w:t>项的参数：</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★1.屏体尺寸：≥86英寸，LED 背光源：DLED，A规屏，全贴合，单屏显示比例(16：9)，支持拼接显示，双屏显示比例(32：9)，三屏显示比例(48：9)；</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2.上左右无边框设计，下边框不超过45mm，拼合展示时，显示区域间黑边在28mm以内，物理拼缝控制在0.8mm以内；</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3.物理分辨率：3840×2160；可视角度≥178°，对比度：≥5000:1，刷新率≥60Hz</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4.触摸技术：电容技术，20点触控，支持安卓、windows系统。</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5.支持手指、电容笔书写，书写流畅、无断笔、无锯齿，无漂移，提供物理智能板擦，便于板书擦除；</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6.触摸灵敏度单点≤10ms，双点≤15ms，最小触摸物体直径≥7mm，定位精度±0.1mm；</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7.触控显示模组采用全贴合工艺，书写无悬空感，触控无偏移，侧视无重影；</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8. 安卓系统版本8.0或以上，CPU≥4核，内部缓存容量（RAM）≥4GB；内部存储容量（ROM）≥32GB。9. 支持2.4GHz/5GHz双频wifi，满足IEEE802.11a/b/g/n/ac标准，内置蓝牙模块；</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三拼一体屏还需实现以下功能：</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10. 具备RJ45≥8，其中PoE接口≥2，HDMIOUT≥1，HDMIIN≥2，USBTouch≥1，RS232≥2，具备红外接收接口；</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11. 前面板设计：NFC≥1；USB3.0≥2；Type-C≥1；笔槽吸附≥2，开关按键≥1，支持通过开关按键实现拼接屏幕的联动开关控制；</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w:t>
            </w:r>
            <w:r>
              <w:rPr>
                <w:rFonts w:ascii="宋体" w:hAnsi="宋体" w:cs="宋体"/>
                <w:color w:val="000000"/>
                <w:sz w:val="24"/>
                <w:szCs w:val="24"/>
                <w:lang w:bidi="ar"/>
              </w:rPr>
              <w:t>2</w:t>
            </w:r>
            <w:r>
              <w:rPr>
                <w:rFonts w:hint="eastAsia" w:ascii="宋体" w:hAnsi="宋体" w:cs="宋体"/>
                <w:color w:val="000000"/>
                <w:sz w:val="24"/>
                <w:szCs w:val="24"/>
                <w:lang w:bidi="ar"/>
              </w:rPr>
              <w:t>.支持在任一屏体的侧边栏切换系统（安卓或windows），其他屏体都统一切换到统一系统；</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w:t>
            </w:r>
            <w:r>
              <w:rPr>
                <w:rFonts w:ascii="宋体" w:hAnsi="宋体" w:cs="宋体"/>
                <w:color w:val="000000"/>
                <w:sz w:val="24"/>
                <w:szCs w:val="24"/>
                <w:lang w:bidi="ar"/>
              </w:rPr>
              <w:t>3</w:t>
            </w:r>
            <w:r>
              <w:rPr>
                <w:rFonts w:hint="eastAsia" w:ascii="宋体" w:hAnsi="宋体" w:cs="宋体"/>
                <w:color w:val="000000"/>
                <w:sz w:val="24"/>
                <w:szCs w:val="24"/>
                <w:lang w:bidi="ar"/>
              </w:rPr>
              <w:t>.支持下移屏幕:整机可通过软件快捷键实现屏幕显示画面下移，可调整下降一定高度，并可进行触控，方便用户操作；点击屏幕即可恢复全屏显示；</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w:t>
            </w:r>
            <w:r>
              <w:rPr>
                <w:rFonts w:ascii="宋体" w:hAnsi="宋体" w:cs="宋体"/>
                <w:color w:val="000000"/>
                <w:sz w:val="24"/>
                <w:szCs w:val="24"/>
                <w:lang w:bidi="ar"/>
              </w:rPr>
              <w:t>4</w:t>
            </w:r>
            <w:r>
              <w:rPr>
                <w:rFonts w:hint="eastAsia" w:ascii="宋体" w:hAnsi="宋体" w:cs="宋体"/>
                <w:color w:val="000000"/>
                <w:sz w:val="24"/>
                <w:szCs w:val="24"/>
                <w:lang w:bidi="ar"/>
              </w:rPr>
              <w:t>.支持亮度调节和音量调节，在任一物理屏的侧边栏操作调用，同时控制多屏（双屏或三屏）的一致调节；</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w:t>
            </w:r>
            <w:r>
              <w:rPr>
                <w:rFonts w:ascii="宋体" w:hAnsi="宋体" w:cs="宋体"/>
                <w:color w:val="000000"/>
                <w:sz w:val="24"/>
                <w:szCs w:val="24"/>
                <w:lang w:bidi="ar"/>
              </w:rPr>
              <w:t>5</w:t>
            </w:r>
            <w:r>
              <w:rPr>
                <w:rFonts w:hint="eastAsia" w:ascii="宋体" w:hAnsi="宋体" w:cs="宋体"/>
                <w:color w:val="000000"/>
                <w:sz w:val="24"/>
                <w:szCs w:val="24"/>
                <w:lang w:bidi="ar"/>
              </w:rPr>
              <w:t>.支持任一物理屏的侧面边栏操作调用，同时控制多个屏统一下移屏幕；</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w:t>
            </w:r>
            <w:r>
              <w:rPr>
                <w:rFonts w:ascii="宋体" w:hAnsi="宋体" w:cs="宋体"/>
                <w:color w:val="000000"/>
                <w:sz w:val="24"/>
                <w:szCs w:val="24"/>
                <w:lang w:bidi="ar"/>
              </w:rPr>
              <w:t>6</w:t>
            </w:r>
            <w:r>
              <w:rPr>
                <w:rFonts w:hint="eastAsia" w:ascii="宋体" w:hAnsi="宋体" w:cs="宋体"/>
                <w:color w:val="000000"/>
                <w:sz w:val="24"/>
                <w:szCs w:val="24"/>
                <w:lang w:bidi="ar"/>
              </w:rPr>
              <w:t>.支持任一物理屏的侧面边栏操作调用，支持多屏同时打开批注功能；</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w:t>
            </w:r>
            <w:r>
              <w:rPr>
                <w:rFonts w:ascii="宋体" w:hAnsi="宋体" w:cs="宋体"/>
                <w:color w:val="000000"/>
                <w:sz w:val="24"/>
                <w:szCs w:val="24"/>
                <w:lang w:bidi="ar"/>
              </w:rPr>
              <w:t>7</w:t>
            </w:r>
            <w:r>
              <w:rPr>
                <w:rFonts w:hint="eastAsia" w:ascii="宋体" w:hAnsi="宋体" w:cs="宋体"/>
                <w:color w:val="000000"/>
                <w:sz w:val="24"/>
                <w:szCs w:val="24"/>
                <w:lang w:bidi="ar"/>
              </w:rPr>
              <w:t>.可以通过U盘自动升级和手动升级整机软件版本；</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w:t>
            </w:r>
            <w:r>
              <w:rPr>
                <w:rFonts w:ascii="宋体" w:hAnsi="宋体" w:cs="宋体"/>
                <w:color w:val="000000"/>
                <w:sz w:val="24"/>
                <w:szCs w:val="24"/>
                <w:lang w:bidi="ar"/>
              </w:rPr>
              <w:t>8</w:t>
            </w:r>
            <w:r>
              <w:rPr>
                <w:rFonts w:hint="eastAsia" w:ascii="宋体" w:hAnsi="宋体" w:cs="宋体"/>
                <w:color w:val="000000"/>
                <w:sz w:val="24"/>
                <w:szCs w:val="24"/>
                <w:lang w:bidi="ar"/>
              </w:rPr>
              <w:t>.支持双屏幕（32：9）及三屏幕（48：9）的拼合展示，拼缝≤0.5mm，断差≤0.5mm、高低差≤0.5mm；（提供具有CMA或CNAS标识的检测报告复印件并加盖投标人公章）</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w:t>
            </w:r>
            <w:r>
              <w:rPr>
                <w:rFonts w:ascii="宋体" w:hAnsi="宋体" w:cs="宋体"/>
                <w:color w:val="000000"/>
                <w:sz w:val="24"/>
                <w:szCs w:val="24"/>
                <w:lang w:bidi="ar"/>
              </w:rPr>
              <w:t>9</w:t>
            </w:r>
            <w:r>
              <w:rPr>
                <w:rFonts w:hint="eastAsia" w:ascii="宋体" w:hAnsi="宋体" w:cs="宋体"/>
                <w:color w:val="000000"/>
                <w:sz w:val="24"/>
                <w:szCs w:val="24"/>
                <w:lang w:bidi="ar"/>
              </w:rPr>
              <w:t>.配套与屏体连接的摄像头，由屏体供电，像素≥1300W，对角线120°，水平视场角≥95°，支持3D降噪。</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w:t>
            </w:r>
            <w:r>
              <w:rPr>
                <w:rFonts w:ascii="宋体" w:hAnsi="宋体" w:cs="宋体"/>
                <w:color w:val="000000"/>
                <w:sz w:val="24"/>
                <w:szCs w:val="24"/>
                <w:lang w:bidi="ar"/>
              </w:rPr>
              <w:t>20</w:t>
            </w:r>
            <w:r>
              <w:rPr>
                <w:rFonts w:hint="eastAsia" w:ascii="宋体" w:hAnsi="宋体" w:cs="宋体"/>
                <w:color w:val="000000"/>
                <w:sz w:val="24"/>
                <w:szCs w:val="24"/>
                <w:lang w:bidi="ar"/>
              </w:rPr>
              <w:t>.内置麦克风：内置≥4路麦克风阵列，具备抗混响，噪声抑制，自动增益控制，远程回声消除，支持OTA升级，支持至少6M人声采集需求；（提供具有CMA或CNAS标识的检测报告复印件并加盖投标人公章）</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21</w:t>
            </w:r>
            <w:r>
              <w:rPr>
                <w:rFonts w:hint="eastAsia" w:ascii="宋体" w:hAnsi="宋体" w:cs="宋体"/>
                <w:color w:val="000000"/>
                <w:sz w:val="24"/>
                <w:szCs w:val="24"/>
                <w:lang w:bidi="ar"/>
              </w:rPr>
              <w:t>.提供无线话筒接入能力，支持不少于两个无线拾音话筒的同步接入；</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w:t>
            </w:r>
            <w:r>
              <w:rPr>
                <w:rFonts w:ascii="宋体" w:hAnsi="宋体" w:cs="宋体"/>
                <w:color w:val="000000"/>
                <w:sz w:val="24"/>
                <w:szCs w:val="24"/>
                <w:lang w:bidi="ar"/>
              </w:rPr>
              <w:t>22</w:t>
            </w:r>
            <w:r>
              <w:rPr>
                <w:rFonts w:hint="eastAsia" w:ascii="宋体" w:hAnsi="宋体" w:cs="宋体"/>
                <w:color w:val="000000"/>
                <w:sz w:val="24"/>
                <w:szCs w:val="24"/>
                <w:lang w:bidi="ar"/>
              </w:rPr>
              <w:t>.内置扩声系统，总功率≥50W，延时小于30ms，支持DTS音效解码和杜比音效解码，支持开启/关闭杜比音效；（提供具有CMA或CNAS标识的检测报告复印件并加盖投标人公章）</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23</w:t>
            </w:r>
            <w:r>
              <w:rPr>
                <w:rFonts w:hint="eastAsia" w:ascii="宋体" w:hAnsi="宋体" w:cs="宋体"/>
                <w:color w:val="000000"/>
                <w:sz w:val="24"/>
                <w:szCs w:val="24"/>
                <w:lang w:bidi="ar"/>
              </w:rPr>
              <w:t>.具备AudioOut≥1，实现音频扩展能力，可外接有源音箱，实现大型教室的扩声需求；</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w:t>
            </w:r>
            <w:r>
              <w:rPr>
                <w:rFonts w:ascii="宋体" w:hAnsi="宋体" w:cs="宋体"/>
                <w:color w:val="000000"/>
                <w:sz w:val="24"/>
                <w:szCs w:val="24"/>
                <w:lang w:bidi="ar"/>
              </w:rPr>
              <w:t>24</w:t>
            </w:r>
            <w:r>
              <w:rPr>
                <w:rFonts w:hint="eastAsia" w:ascii="宋体" w:hAnsi="宋体" w:cs="宋体"/>
                <w:color w:val="000000"/>
                <w:sz w:val="24"/>
                <w:szCs w:val="24"/>
                <w:lang w:bidi="ar"/>
              </w:rPr>
              <w:t>.内置无线物联网关，支持物联控制功能，可对教室内的物联设备（如大屏、投影、灯光、窗帘、电源、空调、传感器等设备）进行单独控制，也可进行批量控制，控制响应时间＜0.5秒；（提供具有CMA或CNAS标识的检测报告复印件并加盖投标人公章）</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25</w:t>
            </w:r>
            <w:r>
              <w:rPr>
                <w:rFonts w:hint="eastAsia" w:ascii="宋体" w:hAnsi="宋体" w:cs="宋体"/>
                <w:color w:val="000000"/>
                <w:sz w:val="24"/>
                <w:szCs w:val="24"/>
                <w:lang w:bidi="ar"/>
              </w:rPr>
              <w:t>.支持强弱电分离控制，可提供对不同设备的独立强电控制，如空调等大功率电器，保障系统安全；</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26</w:t>
            </w:r>
            <w:r>
              <w:rPr>
                <w:rFonts w:hint="eastAsia" w:ascii="宋体" w:hAnsi="宋体" w:cs="宋体"/>
                <w:color w:val="000000"/>
                <w:sz w:val="24"/>
                <w:szCs w:val="24"/>
                <w:lang w:bidi="ar"/>
              </w:rPr>
              <w:t>.支持扫描自动添加设备，自动命令设备名称和图标，可对当前组网所有设备实现修改，删除操作；</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w:t>
            </w:r>
            <w:r>
              <w:rPr>
                <w:rFonts w:ascii="宋体" w:hAnsi="宋体" w:cs="宋体"/>
                <w:color w:val="000000"/>
                <w:sz w:val="24"/>
                <w:szCs w:val="24"/>
                <w:lang w:bidi="ar"/>
              </w:rPr>
              <w:t>7</w:t>
            </w:r>
            <w:r>
              <w:rPr>
                <w:rFonts w:hint="eastAsia" w:ascii="宋体" w:hAnsi="宋体" w:cs="宋体"/>
                <w:color w:val="000000"/>
                <w:sz w:val="24"/>
                <w:szCs w:val="24"/>
                <w:lang w:bidi="ar"/>
              </w:rPr>
              <w:t>.支持监控教室内的环境状态，如温度、湿度、光照度、PM2.5、二氧化碳浓度、TVOC、甲醛浓度等，温湿度精确值小数点后2位；</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w:t>
            </w:r>
            <w:r>
              <w:rPr>
                <w:rFonts w:ascii="宋体" w:hAnsi="宋体" w:cs="宋体"/>
                <w:color w:val="000000"/>
                <w:sz w:val="24"/>
                <w:szCs w:val="24"/>
                <w:lang w:bidi="ar"/>
              </w:rPr>
              <w:t>8</w:t>
            </w:r>
            <w:r>
              <w:rPr>
                <w:rFonts w:hint="eastAsia" w:ascii="宋体" w:hAnsi="宋体" w:cs="宋体"/>
                <w:color w:val="000000"/>
                <w:sz w:val="24"/>
                <w:szCs w:val="24"/>
                <w:lang w:bidi="ar"/>
              </w:rPr>
              <w:t>.保护师生眼睛，支持舒适护眼模式，至少包含：文本护眼、书写护眼、笔墨护眼、绘画护眼、关闭五种模式；</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w:t>
            </w:r>
            <w:r>
              <w:rPr>
                <w:rFonts w:ascii="宋体" w:hAnsi="宋体" w:cs="宋体"/>
                <w:color w:val="000000"/>
                <w:sz w:val="24"/>
                <w:szCs w:val="24"/>
                <w:lang w:bidi="ar"/>
              </w:rPr>
              <w:t>9</w:t>
            </w:r>
            <w:r>
              <w:rPr>
                <w:rFonts w:hint="eastAsia" w:ascii="宋体" w:hAnsi="宋体" w:cs="宋体"/>
                <w:color w:val="000000"/>
                <w:sz w:val="24"/>
                <w:szCs w:val="24"/>
                <w:lang w:bidi="ar"/>
              </w:rPr>
              <w:t>.无需安装客户端，支持将手机/PAD的实时画面、视频、图片、文档等进行投屏传输，还支持将手机/PAD的音频信号同步传输；</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30</w:t>
            </w:r>
            <w:r>
              <w:rPr>
                <w:rFonts w:hint="eastAsia" w:ascii="宋体" w:hAnsi="宋体" w:cs="宋体"/>
                <w:color w:val="000000"/>
                <w:sz w:val="24"/>
                <w:szCs w:val="24"/>
                <w:lang w:bidi="ar"/>
              </w:rPr>
              <w:t>.采用无界画布设计，可实现当画布上有超出屏幕范围的内容时，可以通过窗口导航快速移动到指定位置；</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31</w:t>
            </w:r>
            <w:r>
              <w:rPr>
                <w:rFonts w:hint="eastAsia" w:ascii="宋体" w:hAnsi="宋体" w:cs="宋体"/>
                <w:color w:val="000000"/>
                <w:sz w:val="24"/>
                <w:szCs w:val="24"/>
                <w:lang w:bidi="ar"/>
              </w:rPr>
              <w:t>.整机提供远程管理维护功能，可远程查看整机的运行状态，远程控制设备待机等；</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32</w:t>
            </w:r>
            <w:r>
              <w:rPr>
                <w:rFonts w:hint="eastAsia" w:ascii="宋体" w:hAnsi="宋体" w:cs="宋体"/>
                <w:color w:val="000000"/>
                <w:sz w:val="24"/>
                <w:szCs w:val="24"/>
                <w:lang w:bidi="ar"/>
              </w:rPr>
              <w:t>.整机支持定时开关机，用户可根据需求设置24小时任意时间点定时开关机；一次设置完成后，每天按设定时间开关机。</w:t>
            </w:r>
          </w:p>
          <w:p>
            <w:pPr>
              <w:pStyle w:val="19"/>
              <w:spacing w:after="0" w:line="240" w:lineRule="auto"/>
              <w:ind w:left="0" w:leftChars="0" w:firstLine="0" w:firstLineChars="0"/>
              <w:jc w:val="left"/>
              <w:rPr>
                <w:lang w:bidi="ar"/>
              </w:rPr>
            </w:pPr>
            <w:r>
              <w:rPr>
                <w:rFonts w:hint="eastAsia" w:ascii="宋体" w:hAnsi="宋体" w:eastAsia="宋体" w:cs="宋体"/>
                <w:color w:val="000000"/>
                <w:sz w:val="24"/>
                <w:szCs w:val="24"/>
                <w:lang w:bidi="ar"/>
              </w:rPr>
              <w:t>▲</w:t>
            </w:r>
            <w:r>
              <w:rPr>
                <w:rFonts w:ascii="宋体" w:hAnsi="宋体" w:eastAsia="宋体" w:cs="宋体"/>
                <w:color w:val="000000"/>
                <w:sz w:val="24"/>
                <w:szCs w:val="24"/>
                <w:lang w:bidi="ar"/>
              </w:rPr>
              <w:t>33</w:t>
            </w:r>
            <w:r>
              <w:rPr>
                <w:rFonts w:hint="eastAsia" w:ascii="宋体" w:hAnsi="宋体" w:eastAsia="宋体" w:cs="宋体"/>
                <w:color w:val="000000"/>
                <w:sz w:val="24"/>
                <w:szCs w:val="24"/>
                <w:lang w:bidi="ar"/>
              </w:rPr>
              <w:t>.整机能感应并自动调节屏幕亮度来达到在不同光照环境下的不同亮度显示效果，支持伽马曲线调节，整机待机状态下节能≥99.8%；亮度均匀性≥90%，待机功率≤0.5W（提供具有CMA或CNAS标识的检测报告复印件并加盖投标人公章）。</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台</w:t>
            </w:r>
          </w:p>
        </w:tc>
      </w:tr>
      <w:tr>
        <w:tblPrEx>
          <w:tblCellMar>
            <w:top w:w="0" w:type="dxa"/>
            <w:left w:w="108" w:type="dxa"/>
            <w:bottom w:w="0" w:type="dxa"/>
            <w:right w:w="108" w:type="dxa"/>
          </w:tblCellMar>
        </w:tblPrEx>
        <w:trPr>
          <w:trHeight w:val="3048"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2</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综合系统软件</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一、机构管理平添</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1.支持密码、短信验证码、微信扫码等多种方式登录；</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2.支持用户通过手机号自助注册；通过手机验证码找回密码；</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3.支持查看隐私政策和用户协议；</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4.支持查看机构基础信息，如名称、类型、区划、logo、管理员信息等；</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5.支持查看机构的软件授权、激活码数量及使用情况；</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▲6.支持对机构的空间结构树管理，支持对机构内校区、楼宇、楼层、空间多级结构树管理，且不限制层级数；（提供具有CMA或CNAS标识的检测报告复印件并加盖投标人公章）</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7.支持对机构内的组织架构进行自由构建，不限制层级结构，并支持一个节点关联多个父级节点，支持批量导入；</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8.支持对机构用户的单独、批量管理，至少支持按节点导入和自定义模板2种方式批量导入用户，支持按筛选条件批量导出；</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9.支持对用户自由分配角色和数据范围，支持对用户启停用和重置密码；</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10.支持以姓名、手机号、学/工号、角色查找用户；</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11.支持对机构用户的人脸识别照片进行管理；</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12.支持对教室显示设备进行管理，可查看设备的详细状态，如开关机状态、开机时长、累计开机时长、CPU、内存、磁盘使用情况、运行温度等；</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13.支持对录播的基础配置和录制策略进行配置，包括摄像机设置、录制画面设置；</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14.支持对机构内使用的客户端软件进行管理；</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▲15.支持对机构内的用户进行自定义管理，根据角色对用户进行赋权配置（提供具有CMA或CNAS标识的检测报告复印件并加盖投标人公章）。</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二、讲演网络空间：</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1.支持密码、短信验证码、微信扫码等多种方式登录；</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2.支持对个人课程的管理，可对自己创建的课程进行查看、修改、删除等操作，支持自定义课程封面；</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3.支持对个人课节的管理，可对自己创建的课节进行查看、移动、修改、删除等操作，可将课节与已维护的教学班进行关联；</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4.支持查看上课过程中的各类统计，如考勤情况、互动情况、问答情况等；</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5.支持自动生成上课过程的关键事件时间轴；</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6.支持查看用户参与过的课程和课堂回顾和课堂报告；</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7.支持学生给老师的评分和评语，可以自动统计并生成课堂各项行为数据图表，可支持老师在线回答学生提问；</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8.支持对教学班进行管理，支持按组织架构或工号/姓名快速查找学生，支持一键解散教学班；</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9.支持用户上传各类格式的多媒体资源，并可对资源进行管理，如；查看、编辑、删除、下载、移动、替换等操作；</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10.可实时查看个人云盘的空间使用情况；</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11.支持针对老师和学生生成不同的课堂报告，在课堂报告中可查看上课调用过的资源，并可回看在上课过程中自动录制的课堂视频，视频可根据老师关键操作自动视频打点，进行过程记录；（提供具有CMA或CNAS标识的检测报告复印件并加盖投标人公章）</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12.可以对班级内学员发布任务，并进行任务管理，支持提交任务回馈和添加附件，可以给任务评分和写批语；</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13.支持题目管理，题型包含单选题、多选题、判断题、简答题等；</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三、管控网络空间：</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1.系统软件B/S构架，支持物理服务器/私有云/公有云部署，浏览器登录操作，支持多种浏览器；</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2.支持刷卡、扫描二维码等方式验证用户操作权限，支持对用户操作权限进行自定义配置；</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3.支持对教室内的设备进行单独控制，支持同时选取多间教室，对不同设备进行批量控制；</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4.支持自定义教室应用场景，可对教室内的物联设备进行场景化管理，通过编辑设备指令组合一键控制多个设备的对应动作；</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5.支持控制设备（智能插座、总电源、灯光、窗帘、一体机、投影、幕布、空调等）接入、支持传感设备（电量统计、温湿度传感器、空气质量传感器、人体存在检测传感器、光照传感器等）接入；</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6.支持通过卡片形式展示智慧教室的设备安装情况，支持按教学楼和教室名称快速查找教室；</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7.支持查看教室环境信息，包括温度、湿度、PM2.5、二氧化碳浓度、甲醛浓度、TVOC浓度、光照度等，支持即时反馈教室内各类型设备的运行情况；</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8.支持查看教室内麦克风的充电状态；</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9.支持通过教室结构树快捷切换不同教室查看教室详情，支持在教室详情内查看教室监控画面，监控画面支持全屏查看；</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10.支持对接课表，可查看教室当日和本周课程表；</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四、互动系统许可软件</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1.支持密码、短信验证码、微信扫码等多种方式登录；</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2.开始讲演后，用户无需选择讲演，系统可自动调用默认讲演，所有的讲演内容将会保存在默认讲演中；</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3.支持在讲演过程中快速切换项目和讲演，调用不同讲演的多媒体资源；</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4.登录用户账号后自动开始讲演并可记录讲演时长；</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5.支持快速添加本地资源至讲演中，文件将同时上传至用户的云盘内；</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6.支持资源按照名称、大小、上传时间进行正/逆序排列；</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9.支持发起抽答互动，被抽中的用户信息将显示在画布中，信息包含头像、姓名；</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10.支持发起抢答互动，抢到名额的用户信息将显示在画布中；</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11.支持人员扫码签到，主讲人可实时查看已签到和未签到人员名单，支持引用网络空间预置的团队；</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12.支持实时展示听讲人发送的弹幕，字数不限制，多种颜色可选，匿名展示；</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13.支持在讲演中和讲演外通过扫描二维码方式反馈软件问题，支持文字录入和添加多张图片；</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14.支持移动端浏览当前资源窗口，资源类型至少包含：PPT、Word、PDF、图片等；</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15.支持发起无题干投票，支持设置投票选项个数；</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16.支持在课上使用之前设置好的固定分组，支持临时调整固定分组成员；</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17.支持设置随机分组，根据设定的组数将已签到的学生随机分组；</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18.支持手动分组，支持自由设置每个小组的成员；</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19.支持屏幕任意位置截图并作为题干推送给学生或指定小组；</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20.截图推题题型支持单选、多选、判断和简答题；</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21.截图推题支持在结束答题后设置客观题正确答案；</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22.支持推送题库内的题目给学生或指定小组；</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23.支持给每个小组设置组长，组长可代表小组提交答案；</w:t>
            </w:r>
          </w:p>
          <w:p>
            <w:pPr>
              <w:pStyle w:val="19"/>
              <w:spacing w:after="0"/>
              <w:ind w:left="0" w:leftChars="0" w:firstLine="0" w:firstLineChars="0"/>
              <w:rPr>
                <w:rFonts w:ascii="宋体" w:hAnsi="宋体" w:eastAsia="宋体" w:cs="宋体"/>
                <w:color w:val="000000"/>
                <w:sz w:val="24"/>
                <w:szCs w:val="24"/>
                <w:lang w:bidi="ar"/>
              </w:rPr>
            </w:pPr>
            <w:r>
              <w:rPr>
                <w:rFonts w:hint="eastAsia" w:ascii="宋体" w:hAnsi="宋体" w:eastAsia="宋体" w:cs="宋体"/>
                <w:color w:val="000000"/>
                <w:sz w:val="24"/>
                <w:szCs w:val="24"/>
                <w:lang w:bidi="ar"/>
              </w:rPr>
              <w:t>24.支持移动端一键最小化和还原大屏所有资源窗口，支持开始、暂停音视频，并可调节音视频音量；</w:t>
            </w:r>
          </w:p>
          <w:p>
            <w:pPr>
              <w:pStyle w:val="19"/>
              <w:spacing w:after="0"/>
              <w:ind w:left="0" w:leftChars="0" w:firstLine="0" w:firstLineChars="0"/>
              <w:rPr>
                <w:lang w:bidi="ar"/>
              </w:rPr>
            </w:pPr>
            <w:r>
              <w:rPr>
                <w:rFonts w:hint="eastAsia" w:ascii="宋体" w:hAnsi="宋体" w:eastAsia="宋体" w:cs="宋体"/>
                <w:color w:val="000000"/>
                <w:sz w:val="24"/>
                <w:szCs w:val="24"/>
                <w:lang w:bidi="ar"/>
              </w:rPr>
              <w:t>25.▲支持移动端同步课件及板书内容，并可对板书进行编辑，通过移动端实现讲演项目管理及任务管理批阅等操作；（提供具有CMA或CNAS标识的检测报告复印件并加盖投标人公章）；</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套</w:t>
            </w:r>
          </w:p>
        </w:tc>
      </w:tr>
      <w:tr>
        <w:tblPrEx>
          <w:tblCellMar>
            <w:top w:w="0" w:type="dxa"/>
            <w:left w:w="108" w:type="dxa"/>
            <w:bottom w:w="0" w:type="dxa"/>
            <w:right w:w="108" w:type="dxa"/>
          </w:tblCellMar>
        </w:tblPrEx>
        <w:trPr>
          <w:trHeight w:val="365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3</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智能讲台</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1.钢木结合设计，桌面防静电。尺寸长×宽×高：≥ 1280mm×592mm×1032mm±5mm；</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w:t>
            </w:r>
            <w:r>
              <w:rPr>
                <w:rFonts w:hint="eastAsia" w:ascii="宋体" w:hAnsi="宋体" w:cs="宋体"/>
                <w:color w:val="000000"/>
                <w:sz w:val="24"/>
                <w:szCs w:val="24"/>
              </w:rPr>
              <w:t>2.内置≥21.5英寸电容触摸屏幕，支持≥10点同时触摸；屏幕采用防眩光全钢化防爆玻璃面板，厚度≥3mm（提供具有CMA标识的第三方检测报告复印件并加盖投标人公章）；</w:t>
            </w:r>
          </w:p>
          <w:p>
            <w:pPr>
              <w:jc w:val="left"/>
              <w:textAlignment w:val="center"/>
              <w:rPr>
                <w:rFonts w:ascii="宋体" w:hAnsi="宋体" w:cs="宋体"/>
                <w:color w:val="000000"/>
                <w:sz w:val="24"/>
                <w:szCs w:val="24"/>
              </w:rPr>
            </w:pPr>
            <w:r>
              <w:rPr>
                <w:rFonts w:hint="eastAsia" w:ascii="宋体" w:hAnsi="宋体" w:cs="宋体"/>
                <w:color w:val="000000"/>
                <w:sz w:val="24"/>
                <w:szCs w:val="24"/>
              </w:rPr>
              <w:t>3.具备独立的快捷按键，用户可通过快捷按键对交互智能互联教学屏进行一键熄屏、音量加减控制；智能讲台具备≥1个可自定义功能按键，可通过软件设置按键功能。</w:t>
            </w:r>
          </w:p>
          <w:p>
            <w:pPr>
              <w:pStyle w:val="19"/>
              <w:spacing w:after="0" w:line="240" w:lineRule="auto"/>
              <w:ind w:left="0" w:leftChars="0" w:firstLine="0" w:firstLineChars="0"/>
              <w:jc w:val="left"/>
            </w:pPr>
            <w:r>
              <w:rPr>
                <w:rFonts w:hint="eastAsia" w:ascii="宋体" w:hAnsi="宋体" w:eastAsia="宋体" w:cs="宋体"/>
                <w:color w:val="000000"/>
                <w:sz w:val="24"/>
                <w:szCs w:val="24"/>
                <w:lang w:bidi="ar"/>
              </w:rPr>
              <w:t>4、支持定制LOGO或其他标识。</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台</w:t>
            </w:r>
          </w:p>
        </w:tc>
      </w:tr>
      <w:tr>
        <w:tblPrEx>
          <w:tblCellMar>
            <w:top w:w="0" w:type="dxa"/>
            <w:left w:w="108" w:type="dxa"/>
            <w:bottom w:w="0" w:type="dxa"/>
            <w:right w:w="108" w:type="dxa"/>
          </w:tblCellMar>
        </w:tblPrEx>
        <w:trPr>
          <w:trHeight w:val="225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4</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65寸一体机（含OPS）</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lang w:bidi="ar"/>
              </w:rPr>
              <w:t>1.智能交互平板显示尺寸≧65英寸，分辨率：3840*2160 ，采用红外触控技术，在双系统下均支持20点同时触控及书写</w:t>
            </w:r>
            <w:r>
              <w:rPr>
                <w:rFonts w:hint="eastAsia" w:ascii="宋体" w:hAnsi="宋体" w:cs="宋体"/>
                <w:color w:val="000000"/>
                <w:sz w:val="24"/>
                <w:szCs w:val="24"/>
              </w:rPr>
              <w:t>；</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2.交互平板功率≤360W，交互平板表面玻璃采用高强度钢化玻璃，硬度可达莫氏7级，高于石墨1-9H硬度；</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3.智能交互平板显示部分需采用高色域覆盖技术，NTSC色域标准下覆盖率不低于85%</w:t>
            </w:r>
            <w:r>
              <w:rPr>
                <w:rFonts w:hint="eastAsia" w:ascii="宋体" w:hAnsi="宋体" w:cs="宋体"/>
                <w:color w:val="000000"/>
                <w:sz w:val="24"/>
                <w:szCs w:val="24"/>
              </w:rPr>
              <w:t>；</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▲4.为方便外接信号源的输入，设备至少1路前置HDMI接口（非转接），3路前置USB3.0接口（须提供CMA或CNAS认证测机构出具的检测报告并加盖投标人公章）</w:t>
            </w:r>
            <w:r>
              <w:rPr>
                <w:rFonts w:hint="eastAsia" w:ascii="宋体" w:hAnsi="宋体" w:cs="宋体"/>
                <w:color w:val="000000"/>
                <w:sz w:val="24"/>
                <w:szCs w:val="24"/>
              </w:rPr>
              <w:t>；</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▲5.为方便用户进行各类设置和操作，设备前置按键不少于8个，可实现音量加减、窗口关闭、触控开关等功能，且每个按键不少于两种以上功能（须提供CMA或CNAS认证测机构出具的检测报告并加盖投标人公章）</w:t>
            </w:r>
            <w:r>
              <w:rPr>
                <w:rFonts w:hint="eastAsia" w:ascii="宋体" w:hAnsi="宋体" w:cs="宋体"/>
                <w:color w:val="000000"/>
                <w:sz w:val="24"/>
                <w:szCs w:val="24"/>
              </w:rPr>
              <w:t>；</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6.前面板具有标识的天线模块，包含2.4G 、5G双频 Wifi及蓝牙接发装置，保证信号使用稳定性，无需打开智能平板背板，前置接口面板和前置按键面板支持单独前拆，前置U盘接口采用隐藏式设计，具有翻转式防护盖板，高度不少于4cm</w:t>
            </w:r>
            <w:r>
              <w:rPr>
                <w:rFonts w:hint="eastAsia" w:ascii="宋体" w:hAnsi="宋体" w:cs="宋体"/>
                <w:color w:val="000000"/>
                <w:sz w:val="24"/>
                <w:szCs w:val="24"/>
              </w:rPr>
              <w:t>；</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7.2.0声道音箱，采用针孔阵列发声设计，2个前置15W中高音音箱，且为保证高人声还原度，谐振频率低于300Hz；</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8.采用物理减滤蓝光设计，无需其他操作即可实现防蓝光，且设备具备智能护眼组合功能，通过扫描设备自带的二维码可获取检测机构的认证证书。</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9.为满足教学场景使用需求，支持不少于3种方式进行屏幕下移，屏幕下移后仍可进行触控、书写等操作；</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▲10.智能交互平板Android主板具备四核CPU，内存不小于2G，Android系统不低于11.0，主页提供不少于5个应用程序，也可替代其他应用程序;（须提供CMA或CNAS认证测机构出具的检测报告并加盖投标人公章）</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▲11.智能平板具备前置电脑还原按键，不需专业人员即可轻松解决电脑系统故障，为避免误碰按键采用针孔式设计，并有配有中文标识（须提供CMA或CNAS认证测机构出具的检测报告并加盖投标人公章）</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w:t>
            </w:r>
            <w:r>
              <w:rPr>
                <w:rFonts w:hint="eastAsia" w:ascii="宋体" w:hAnsi="宋体" w:cs="宋体"/>
                <w:color w:val="000000"/>
                <w:sz w:val="24"/>
                <w:szCs w:val="24"/>
                <w:highlight w:val="none"/>
                <w:lang w:bidi="ar"/>
              </w:rPr>
              <w:t>1</w:t>
            </w:r>
            <w:r>
              <w:rPr>
                <w:rFonts w:ascii="宋体" w:hAnsi="宋体" w:cs="宋体"/>
                <w:color w:val="000000"/>
                <w:sz w:val="24"/>
                <w:szCs w:val="24"/>
                <w:highlight w:val="none"/>
                <w:lang w:bidi="ar"/>
              </w:rPr>
              <w:t>2.</w:t>
            </w:r>
            <w:r>
              <w:rPr>
                <w:rFonts w:hint="eastAsia" w:ascii="宋体" w:hAnsi="宋体" w:cs="宋体"/>
                <w:color w:val="000000"/>
                <w:sz w:val="24"/>
                <w:szCs w:val="24"/>
                <w:highlight w:val="none"/>
                <w:lang w:bidi="ar"/>
              </w:rPr>
              <w:t>内置电脑配置：</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采用80pin Intel通用标准接口,即插即用，易于维护；</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CPU采用Intel酷睿</w:t>
            </w:r>
            <w:r>
              <w:rPr>
                <w:rFonts w:hint="eastAsia" w:ascii="宋体" w:hAnsi="宋体" w:cs="宋体"/>
                <w:color w:val="FF0000"/>
                <w:sz w:val="24"/>
                <w:szCs w:val="24"/>
                <w:lang w:bidi="ar"/>
              </w:rPr>
              <w:t>1</w:t>
            </w:r>
            <w:r>
              <w:rPr>
                <w:rFonts w:ascii="宋体" w:hAnsi="宋体" w:cs="宋体"/>
                <w:color w:val="FF0000"/>
                <w:sz w:val="24"/>
                <w:szCs w:val="24"/>
                <w:lang w:bidi="ar"/>
              </w:rPr>
              <w:t>3</w:t>
            </w:r>
            <w:r>
              <w:rPr>
                <w:rFonts w:hint="eastAsia" w:ascii="宋体" w:hAnsi="宋体" w:cs="宋体"/>
                <w:color w:val="FF0000"/>
                <w:sz w:val="24"/>
                <w:szCs w:val="24"/>
                <w:lang w:bidi="ar"/>
              </w:rPr>
              <w:t>代</w:t>
            </w:r>
            <w:r>
              <w:rPr>
                <w:rFonts w:hint="eastAsia" w:ascii="宋体" w:hAnsi="宋体" w:cs="宋体"/>
                <w:color w:val="000000"/>
                <w:sz w:val="24"/>
                <w:szCs w:val="24"/>
                <w:lang w:bidi="ar"/>
              </w:rPr>
              <w:t>I5处理器；</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内存：≥8G DDR4；</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 xml:space="preserve">硬盘：≥256G SSD固态硬盘； </w:t>
            </w:r>
          </w:p>
          <w:p>
            <w:pPr>
              <w:jc w:val="left"/>
              <w:textAlignment w:val="top"/>
              <w:rPr>
                <w:rFonts w:ascii="宋体" w:hAnsi="宋体" w:cs="宋体"/>
                <w:color w:val="000000"/>
                <w:sz w:val="24"/>
                <w:szCs w:val="24"/>
                <w:lang w:bidi="ar"/>
              </w:rPr>
            </w:pPr>
            <w:r>
              <w:rPr>
                <w:rFonts w:hint="eastAsia" w:ascii="宋体" w:hAnsi="宋体" w:cs="宋体"/>
                <w:color w:val="000000"/>
                <w:sz w:val="24"/>
                <w:szCs w:val="24"/>
                <w:lang w:bidi="ar"/>
              </w:rPr>
              <w:t>接口：整机非外扩展具备5个USB接口；具有独立非外扩展的视频输出接口：≥1路HDMI等。</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4</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台</w:t>
            </w:r>
          </w:p>
        </w:tc>
      </w:tr>
      <w:tr>
        <w:tblPrEx>
          <w:tblCellMar>
            <w:top w:w="0" w:type="dxa"/>
            <w:left w:w="108" w:type="dxa"/>
            <w:bottom w:w="0" w:type="dxa"/>
            <w:right w:w="108" w:type="dxa"/>
          </w:tblCellMar>
        </w:tblPrEx>
        <w:trPr>
          <w:trHeight w:val="7306"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5</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多屏研讨管理系统</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1.基于Windows版本的教师授课多屏控制软件，开展互动式 、探究式、研讨式小组协作教学;</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多屏互动：配合小组研讨系统，控制主屏及各小组屏显示内容，包括：主屏广播、各屏独立显示、小组广播、多屏对比等显示等模式。主屏广播：该模式下，主屏和所有小组屏幕显示内容均为主屏画面；各屏独立显示：教室中各小组屏幕显示内容由各小组决定，教师屏幕由教师决定，各小组可自由讨论，分享；小组广播： 教师选择任意小组屏幕进行广播，其他小组屏幕即同步显示该小组屏幕内容，方便小组展示和小组总结。多屏对比：教师可选择任意2路以上的小组屏幕进行对比教学，促进讨论知识的教学相长。具有多视窗对比教学功能;</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3.分组讨论：教师下发研讨任务后，各小组进入内部独立讨论模式;</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4.多屏多路投屏：支持各小组屏同时多路投屏，支持同组不低于6路的手机投屏对比展示；投屏内容包括手机屏幕、文件或实时拍摄的视频;</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5.黑板及批注：实现在PPT、word、excel、PDF、CAD、photoshop等任何教学课件上一键批注、板擦、保存等功能。具备毛笔和铅笔2中笔形选择，支持黑板、绿板及白板不同背景色，教师可随意切换，支持清页、圈擦、板擦等多种擦除方式。</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套</w:t>
            </w:r>
          </w:p>
        </w:tc>
      </w:tr>
      <w:tr>
        <w:tblPrEx>
          <w:tblCellMar>
            <w:top w:w="0" w:type="dxa"/>
            <w:left w:w="108" w:type="dxa"/>
            <w:bottom w:w="0" w:type="dxa"/>
            <w:right w:w="108" w:type="dxa"/>
          </w:tblCellMar>
        </w:tblPrEx>
        <w:trPr>
          <w:trHeight w:val="983"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6</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小组研讨系统</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1.产品为基于Windows版本的小组端软件，依赖于多屏研讨管理系统和智慧课堂系统运行。实现小组内部的讨论，屏幕的共享；为师生打造一个动态的、灵活的小组协作教学环境;</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2.小组投屏：在局域网模式下，学生手机或PAD可以直投到主屏或小组屏上，投屏内容包括学生端屏幕、文件或实时拍摄的视频；分组研讨模式下，支持各小组同时分组多路投屏;</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3.分组讨论：分组讨论时，小组成员可以在小组大屏幕上展示个人讨论资料，具有手机投屏、自由书写、APP输入等不同输入方法，让课堂分组教学更高效;</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4.分组答题：各小组可以针对老师下发的小组任务进行讨论，讨论方式包括语音、文字、图片、视频等内容;（提供该功能截图，加盖</w:t>
            </w:r>
            <w:r>
              <w:rPr>
                <w:rFonts w:hint="eastAsia" w:ascii="宋体" w:hAnsi="宋体" w:cs="宋体"/>
                <w:color w:val="000000"/>
                <w:sz w:val="24"/>
                <w:szCs w:val="24"/>
                <w:highlight w:val="none"/>
                <w:lang w:bidi="ar"/>
              </w:rPr>
              <w:t>投标人</w:t>
            </w:r>
            <w:r>
              <w:rPr>
                <w:rFonts w:hint="eastAsia" w:ascii="宋体" w:hAnsi="宋体" w:cs="宋体"/>
                <w:color w:val="000000"/>
                <w:sz w:val="24"/>
                <w:szCs w:val="24"/>
                <w:lang w:bidi="ar"/>
              </w:rPr>
              <w:t>公章）</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5.分组协作：系统支持为各小组下发不同教学任务，加强小组间的协作能力；</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6.黑板及批注：实现在PPT、word、excel、PDF、CAD、photoshop等任何教学课件上一键批注、板擦、保存等功能。具备毛笔和铅笔2中笔形选择，支持黑板、绿板及白板不同背景色，教师可随意切换，支持清页、圈擦、板擦等多种擦除方式。</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4</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套</w:t>
            </w:r>
          </w:p>
        </w:tc>
      </w:tr>
      <w:tr>
        <w:tblPrEx>
          <w:tblCellMar>
            <w:top w:w="0" w:type="dxa"/>
            <w:left w:w="108" w:type="dxa"/>
            <w:bottom w:w="0" w:type="dxa"/>
            <w:right w:w="108" w:type="dxa"/>
          </w:tblCellMar>
        </w:tblPrEx>
        <w:trPr>
          <w:trHeight w:val="5782"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7</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双目高清摄像机</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1.内置人体检测及锁定跟踪图像算法，无需外接跟踪主机和辅助摄像头；</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2.满足一体化集成设计，可同时输出最高达1080P60的全景摄像机SDI视频和特写摄像机SDI视频；</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3.满足特写摄像机和全景摄像机视频颜色、亮度等保持一致；</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4.具备教师身高自适应功能；</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5.摄像机需内置智能导播切换策略，摄像机水平、垂直均能跟踪，始终保持图像清晰；</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6.支持根据目标远近，特写摄像机将自动变倍，始终保持合适大小；</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7.满足跟踪效果不受教室大小、形状和阶梯教室影响；</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8.具备智能曝光功能，彻底避免投影仪等强光背景下跟踪目标变暗的问题；</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9.支持高清视频H.265/H.264编码输出；</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10.支持四码流，同时输出特写摄像机和全景摄像机的网络视频不同分辨率码流。</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4</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台</w:t>
            </w:r>
          </w:p>
        </w:tc>
      </w:tr>
      <w:tr>
        <w:tblPrEx>
          <w:tblCellMar>
            <w:top w:w="0" w:type="dxa"/>
            <w:left w:w="108" w:type="dxa"/>
            <w:bottom w:w="0" w:type="dxa"/>
            <w:right w:w="108" w:type="dxa"/>
          </w:tblCellMar>
        </w:tblPrEx>
        <w:trPr>
          <w:trHeight w:val="93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8</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跟踪摄像机控制软件</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1.内置人体行为识别图像算法来检测学生的起立和坐下动作，无需外接跟踪主机和辅助摄像头；</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2.满足一体化集成设计，可同时输出最高达1080P60的全景摄像机SDI视频和特写摄像机SDI视频；</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3.支持特写摄像机和全景摄像机视频颜色、亮度等保持一致；</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4.满足智能识别单人或者多人起立和坐下动作，并给出单人或者多人的特写定位镜头；</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5.支持识别站立后的离座走开动作；</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6.满足安装位置灵活，不局限于教室前面正中位置；</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7.满足跟踪效果不受教室大小、形状和阶梯教室影响；</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8.支持智能曝光功能，避免窗户等强光背景下目标变暗的问题。；</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9.支持高清视频H.265/H.264编码输出；</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10.支持四码流，同时输出特写摄像机和全景摄像机的网络视频不同分辨率码流。</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4</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套</w:t>
            </w:r>
          </w:p>
        </w:tc>
      </w:tr>
      <w:tr>
        <w:tblPrEx>
          <w:tblCellMar>
            <w:top w:w="0" w:type="dxa"/>
            <w:left w:w="108" w:type="dxa"/>
            <w:bottom w:w="0" w:type="dxa"/>
            <w:right w:w="108" w:type="dxa"/>
          </w:tblCellMar>
        </w:tblPrEx>
        <w:trPr>
          <w:trHeight w:val="6032"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9</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sz w:val="24"/>
                <w:szCs w:val="24"/>
              </w:rPr>
            </w:pPr>
            <w:r>
              <w:rPr>
                <w:rFonts w:hint="eastAsia" w:ascii="宋体" w:hAnsi="宋体" w:cs="宋体"/>
                <w:sz w:val="24"/>
                <w:szCs w:val="24"/>
                <w:lang w:bidi="ar"/>
              </w:rPr>
              <w:t>广播级摄像机</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szCs w:val="24"/>
                <w:lang w:bidi="ar"/>
              </w:rPr>
            </w:pPr>
            <w:r>
              <w:rPr>
                <w:rFonts w:hint="eastAsia" w:ascii="宋体" w:hAnsi="宋体" w:cs="宋体"/>
                <w:sz w:val="24"/>
                <w:szCs w:val="24"/>
                <w:lang w:bidi="ar"/>
              </w:rPr>
              <w:t>1.4K 超高清录制;</w:t>
            </w:r>
          </w:p>
          <w:p>
            <w:pPr>
              <w:jc w:val="left"/>
              <w:textAlignment w:val="center"/>
              <w:rPr>
                <w:rFonts w:ascii="宋体" w:hAnsi="宋体" w:cs="宋体"/>
                <w:sz w:val="24"/>
                <w:szCs w:val="24"/>
                <w:lang w:bidi="ar"/>
              </w:rPr>
            </w:pPr>
            <w:r>
              <w:rPr>
                <w:rFonts w:hint="eastAsia" w:ascii="宋体" w:hAnsi="宋体" w:cs="宋体"/>
                <w:sz w:val="24"/>
                <w:szCs w:val="24"/>
                <w:lang w:bidi="ar"/>
              </w:rPr>
              <w:t>2.1/2.3 英寸 CMOS 图像传感器，具有 1240 万像素;</w:t>
            </w:r>
          </w:p>
          <w:p>
            <w:pPr>
              <w:jc w:val="left"/>
              <w:textAlignment w:val="center"/>
              <w:rPr>
                <w:rFonts w:ascii="宋体" w:hAnsi="宋体" w:cs="宋体"/>
                <w:sz w:val="24"/>
                <w:szCs w:val="24"/>
                <w:lang w:bidi="ar"/>
              </w:rPr>
            </w:pPr>
            <w:r>
              <w:rPr>
                <w:rFonts w:hint="eastAsia" w:ascii="宋体" w:hAnsi="宋体" w:cs="宋体"/>
                <w:sz w:val="24"/>
                <w:szCs w:val="24"/>
                <w:lang w:bidi="ar"/>
              </w:rPr>
              <w:t>2.高品质集成 12x F1.2-3.5 变焦镜头（35mm 等效：29.5-354mm），动态缩放高清模式结合光学变焦和像素映射，实现无缝无损 24 倍变焦;</w:t>
            </w:r>
          </w:p>
          <w:p>
            <w:pPr>
              <w:jc w:val="left"/>
              <w:textAlignment w:val="center"/>
              <w:rPr>
                <w:rFonts w:ascii="宋体" w:hAnsi="宋体" w:cs="宋体"/>
                <w:sz w:val="24"/>
                <w:szCs w:val="24"/>
                <w:lang w:bidi="ar"/>
              </w:rPr>
            </w:pPr>
            <w:r>
              <w:rPr>
                <w:rFonts w:hint="eastAsia" w:ascii="宋体" w:hAnsi="宋体" w:cs="宋体"/>
                <w:sz w:val="24"/>
                <w:szCs w:val="24"/>
                <w:lang w:bidi="ar"/>
              </w:rPr>
              <w:t>3.图片及徽标功能：可自定义图片叠加（开/关可切换）自定义广播徽标、水印、时间和温度的选项可选择预加载徽标;</w:t>
            </w:r>
          </w:p>
          <w:p>
            <w:pPr>
              <w:jc w:val="left"/>
              <w:textAlignment w:val="center"/>
              <w:rPr>
                <w:rFonts w:ascii="宋体" w:hAnsi="宋体" w:cs="宋体"/>
                <w:sz w:val="24"/>
                <w:szCs w:val="24"/>
                <w:lang w:bidi="ar"/>
              </w:rPr>
            </w:pPr>
            <w:r>
              <w:rPr>
                <w:rFonts w:hint="eastAsia" w:ascii="宋体" w:hAnsi="宋体" w:cs="宋体"/>
                <w:sz w:val="24"/>
                <w:szCs w:val="24"/>
                <w:lang w:bidi="ar"/>
              </w:rPr>
              <w:t>4.高清 SDI （3G） 和 HDMI 输出（仅通过 HDMI 输出 4K）通过HDMI连接器实时4K超高清输出;</w:t>
            </w:r>
          </w:p>
          <w:p>
            <w:pPr>
              <w:jc w:val="left"/>
              <w:textAlignment w:val="center"/>
              <w:rPr>
                <w:rFonts w:ascii="宋体" w:hAnsi="宋体" w:cs="宋体"/>
                <w:sz w:val="24"/>
                <w:szCs w:val="24"/>
                <w:lang w:bidi="ar"/>
              </w:rPr>
            </w:pPr>
            <w:r>
              <w:rPr>
                <w:rFonts w:hint="eastAsia" w:ascii="宋体" w:hAnsi="宋体" w:cs="宋体"/>
                <w:sz w:val="24"/>
                <w:szCs w:val="24"/>
                <w:lang w:bidi="ar"/>
              </w:rPr>
              <w:t>5.高级流媒体引擎，流协议：RTMP、RTMPS、MPEG2-TS/UDP、MPEG2-TS/RTP、RTSP/RTP、ZiXi;</w:t>
            </w:r>
          </w:p>
          <w:p>
            <w:pPr>
              <w:jc w:val="left"/>
              <w:textAlignment w:val="center"/>
              <w:rPr>
                <w:rFonts w:ascii="宋体" w:hAnsi="宋体" w:cs="宋体"/>
                <w:sz w:val="24"/>
                <w:szCs w:val="24"/>
                <w:lang w:bidi="ar"/>
              </w:rPr>
            </w:pPr>
            <w:r>
              <w:rPr>
                <w:rFonts w:hint="eastAsia" w:ascii="宋体" w:hAnsi="宋体" w:cs="宋体"/>
                <w:sz w:val="24"/>
                <w:szCs w:val="24"/>
                <w:lang w:bidi="ar"/>
              </w:rPr>
              <w:t>6.0.24 英寸彩色取景器 （156万像素），支持智能对焦辅助功能，3.5 英寸彩色 LCD 显示屏 （92 万像素），具有智能对焦辅助功能;</w:t>
            </w:r>
          </w:p>
          <w:p>
            <w:pPr>
              <w:jc w:val="left"/>
              <w:textAlignment w:val="center"/>
              <w:rPr>
                <w:rFonts w:ascii="宋体" w:hAnsi="宋体" w:cs="宋体"/>
                <w:sz w:val="24"/>
                <w:szCs w:val="24"/>
                <w:lang w:bidi="ar"/>
              </w:rPr>
            </w:pPr>
            <w:r>
              <w:rPr>
                <w:rFonts w:hint="eastAsia" w:ascii="宋体" w:hAnsi="宋体" w:cs="宋体"/>
                <w:sz w:val="24"/>
                <w:szCs w:val="24"/>
                <w:lang w:bidi="ar"/>
              </w:rPr>
              <w:t>7、支持工作状态充电及不停机更换更换供电方式，内置立体声麦克风。</w:t>
            </w:r>
          </w:p>
          <w:p>
            <w:pPr>
              <w:pStyle w:val="19"/>
              <w:ind w:left="0" w:leftChars="0" w:firstLine="0" w:firstLineChars="0"/>
              <w:rPr>
                <w:rFonts w:ascii="宋体" w:hAnsi="宋体"/>
                <w:color w:val="auto"/>
                <w:sz w:val="24"/>
                <w:szCs w:val="24"/>
                <w:lang w:bidi="ar"/>
              </w:rPr>
            </w:pPr>
            <w:r>
              <w:rPr>
                <w:rFonts w:ascii="宋体" w:hAnsi="宋体" w:eastAsia="宋体"/>
                <w:color w:val="auto"/>
                <w:sz w:val="24"/>
                <w:szCs w:val="24"/>
                <w:lang w:bidi="ar"/>
              </w:rPr>
              <w:t>8</w:t>
            </w:r>
            <w:r>
              <w:rPr>
                <w:rFonts w:hint="eastAsia" w:ascii="宋体" w:hAnsi="宋体" w:eastAsia="宋体"/>
                <w:color w:val="auto"/>
                <w:sz w:val="24"/>
                <w:szCs w:val="24"/>
                <w:lang w:bidi="ar"/>
              </w:rPr>
              <w:t>、含适配器、电池、三脚架等套装</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套</w:t>
            </w:r>
          </w:p>
        </w:tc>
      </w:tr>
      <w:tr>
        <w:tblPrEx>
          <w:tblCellMar>
            <w:top w:w="0" w:type="dxa"/>
            <w:left w:w="108" w:type="dxa"/>
            <w:bottom w:w="0" w:type="dxa"/>
            <w:right w:w="108" w:type="dxa"/>
          </w:tblCellMar>
        </w:tblPrEx>
        <w:trPr>
          <w:trHeight w:val="2136"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10</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全向麦克风</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1.环形麦克风阵列设计，远距离清晰拾音，采用波束形成技术，拾音距离≥8米；</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2.内置DSP音频处理单元；</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3.麦克风阵列：内置至少7个全向麦组成环形阵列，360°全向拾音；</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4.内置多重音频算法，自动增益控制，智能抑制环境声学混响，降低环境噪声，消除回声和抑制啸叫，双降无压制；</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5.灵敏度：≥-26dBFS，信噪比：≥64dB（A），频率响应：≥20HZ-16kHZ，采样率：≥32K采样，高清宽带音频；</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6.支持啸叫抑制、增益控制、混响抑制；</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7.音频输出：≥2路3.5mm线性输出，音频输入：≥1路3.5mm线性输入；</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8.USB接口：需具备USB接口，支持UAC协议，支持音频数据通信、软件升级和参数配置；</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9.供电采用USBDC5V，可使用常规USB接口充电；</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10.支持数字音频和模拟音频双模应用；</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11.支持吊装和壁装两种安装方式。</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2</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1833"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11</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红外线传感器</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1.接收管：超广角多阵列式红外线接收管≥24颗；</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2.同时支持不少于2个红外通道传输；</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3.传输接口：支持RJ45网络接口；</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4.接收半径：≥26m(直线无遮挡)；</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5.覆盖角度：≥360°。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 xml:space="preserve">1 </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5782"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12</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sz w:val="24"/>
                <w:szCs w:val="24"/>
                <w:lang w:bidi="ar"/>
              </w:rPr>
              <w:t>红外线手持话筒</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1.无线传输制式：支持红外线(波长850nm)，高灵敏度红外线发射管≥6颗；</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2.拾音传感器：支持电容式驻极体音头ECM；</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3.通道调节：支持双通道设计，可自由调节通道；</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4.支持电池工作时间≥6小时；</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5.电池：支持可充电锂离子电池；</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6.充电方式：支持直插式桌面充电器充电、即话筒尾部安装环形充电金属片，话筒旋转360°，任意角度都可充电；</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7.话筒具备防止电池短路设计，即：无法将电池反装入话筒内，且在任何电池短路的情况下都不会对设备造成损坏；</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8.采用手持式圆柱体形状设计，管体管身全部采用铝合金材质，并具备防滚跌落设计；</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▲9.话筒支持静置≤1秒后自动断开红外发射和声音采集，拿取时自动打开红外发射并正常工作（提供具有CMA或CNAS标识的检测报告复印件并加盖投标人公章）。</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921"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13</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232串口控制器</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1.需控制一体机开关；</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2.需控制一体机信源切换；</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3.使用配套写码软件，用户可自行编写设备控制码；</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4.具备BLEMesh自组网技术，无需网关组网，支持Pad直连控制，可通过Pad直连控制一体机电源开关和信源切换；</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5.CONSOLE接口≥1,RS232≥1,RS485≥1，铝合金外壳，两边自带固定安装挂耳，方便安装；</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6.DC5-12V宽电压供电。</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6</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699"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14</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灯光开关面板</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1.不少于4位按键灯光控制面板，开关分离式独立按键设计，可同时控制2组电源开关；</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2.2路电源控制，单路最大功率≥2200W，最大电流≥10A,220V电源供电；</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3.提供高强度耐磨玻璃面板；</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4.提供电容触摸式按键，带蓝色状态指示灯；</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5.提供标准86式面板结构，可安装于86盒中；</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6.提供标配485接口；</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7.BLEMesh自组网技术，无需网关组网，支持Pad直连控制，可通过Pad直连控制灯光开关。</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FF0000"/>
                <w:sz w:val="24"/>
                <w:szCs w:val="24"/>
                <w:lang w:bidi="ar"/>
              </w:rPr>
              <w:t>2</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274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15</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红外控制器</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1.红外控制器，支持≥14组红外设备编码学习，控制空调开关、温度和模式调节等；</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2.BLEMesh自组网技术，无需网关组网，支持Pad直连控制，可通过Pad直连控制空调开关、模式及温度调节；</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3.工作电压：DC 12V，功耗≤50mA；</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4.USB接口扩展红外发射；</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5.载波频率：30KHz～60KHz宽幅识别，默认为固定38KHz。</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2</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9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16</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窗帘控制器</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1.提供电动窗帘控制单元，远程控制窗帘开合；</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2.支持对4线/5线窗帘电机的控制，实现电机正/反转及暂停功能；</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3.满足BLEMesh广播通讯协议,支持与其他BLEMesh物联设备信号进行数据通讯；</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4.220V接口≥1,电机接线端子≥1，螺丝固定孔≥2；</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5.AC220V供电，最大接入窗帘设备总功率≥1100W。</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4</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31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17</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窗帘电机</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lang w:bidi="ar"/>
              </w:rPr>
              <w:t>电机+加长伸缩轨+遥控</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4</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617"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18</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sz w:val="24"/>
                <w:szCs w:val="24"/>
                <w:lang w:bidi="ar"/>
              </w:rPr>
              <w:t>壁挂音箱</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1.8寸吸顶音箱；</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2.PP盆橡胶边,天花带塑胶桶；</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3.喇叭规格：8寸低音1寸高音；</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4.额定功率:40W；</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5.定阻输入：4-16欧姆；</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6.频宽:60-20KHz ；</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7.灵敏度:90dB ；</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8.产品尺寸:直径280mm 高度190mm；</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9.挖孔尺寸:直径250mm 安装深度200mm。</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只</w:t>
            </w:r>
          </w:p>
        </w:tc>
      </w:tr>
      <w:tr>
        <w:tblPrEx>
          <w:tblCellMar>
            <w:top w:w="0" w:type="dxa"/>
            <w:left w:w="108" w:type="dxa"/>
            <w:bottom w:w="0" w:type="dxa"/>
            <w:right w:w="108" w:type="dxa"/>
          </w:tblCellMar>
        </w:tblPrEx>
        <w:trPr>
          <w:trHeight w:val="760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19</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数字功放</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1.机架式1U功率放大器，输出功率大，性能稳定，调试简单、扩音清晰、灵敏度高、保护功能完善；</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2.前面板三路话筒输入（音量独立调节）、混响延时调节；</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▲3.后面板四路音频输入，电脑、投影机、影碟机、一体机音频信号输入功能；（提供具有CNAS标识的检测报告复印件并加盖投标人公章）</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▲4.1组独立录播音频信号输出，与录播音频信号输出大小调节功能；（提供具有CNAS标识的检测报告复印件并加盖投标人公章）</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5.能有效的抑制声反馈，克服“啸叫”；</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6.备有环保麦克风插口、自带6V直流电源；</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7.频率响应：20Hz-20KHz；</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8.话筒：60Hz-14KHz；</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9.话筒非线性失真：≤0.2%；</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10.功放噪音电压：≤10mV；</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11.信噪比：≥80dB；</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12.线路：0dB 0.775v；</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13.输出功率：2×200W；</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14.线路输出：800mv；</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15.线路输入：450mv；</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▲16.提供音频分类和智能混音算法</w:t>
            </w:r>
            <w:r>
              <w:rPr>
                <w:rFonts w:hint="eastAsia" w:ascii="宋体" w:hAnsi="宋体" w:cs="宋体"/>
                <w:color w:val="000000"/>
                <w:sz w:val="24"/>
                <w:szCs w:val="24"/>
                <w:highlight w:val="none"/>
                <w:lang w:bidi="ar"/>
              </w:rPr>
              <w:t>相关证书</w:t>
            </w:r>
            <w:r>
              <w:rPr>
                <w:rFonts w:hint="eastAsia" w:ascii="宋体" w:hAnsi="宋体" w:cs="宋体"/>
                <w:color w:val="000000"/>
                <w:sz w:val="24"/>
                <w:szCs w:val="24"/>
                <w:lang w:bidi="ar"/>
              </w:rPr>
              <w:t>。</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台</w:t>
            </w:r>
          </w:p>
        </w:tc>
      </w:tr>
      <w:tr>
        <w:tblPrEx>
          <w:tblCellMar>
            <w:top w:w="0" w:type="dxa"/>
            <w:left w:w="108" w:type="dxa"/>
            <w:bottom w:w="0" w:type="dxa"/>
            <w:right w:w="108" w:type="dxa"/>
          </w:tblCellMar>
        </w:tblPrEx>
        <w:trPr>
          <w:trHeight w:val="1833"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20</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领夹麦克风</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ascii="宋体" w:hAnsi="宋体" w:cs="宋体"/>
                <w:color w:val="000000"/>
                <w:sz w:val="24"/>
                <w:szCs w:val="24"/>
                <w:lang w:bidi="ar"/>
              </w:rPr>
              <w:t>1</w:t>
            </w:r>
            <w:r>
              <w:rPr>
                <w:rFonts w:hint="eastAsia" w:ascii="宋体" w:hAnsi="宋体" w:cs="宋体"/>
                <w:color w:val="000000"/>
                <w:sz w:val="24"/>
                <w:szCs w:val="24"/>
                <w:lang w:bidi="ar"/>
              </w:rPr>
              <w:t>、支持≥250米范围内无线传输</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2、麦克风续航时间≥15小时，发射器和接收器续航时间≥5小时，配套充电盒</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3</w:t>
            </w:r>
            <w:r>
              <w:rPr>
                <w:rFonts w:hint="eastAsia" w:ascii="宋体" w:hAnsi="宋体" w:cs="宋体"/>
                <w:color w:val="000000"/>
                <w:sz w:val="24"/>
                <w:szCs w:val="24"/>
                <w:lang w:bidi="ar"/>
              </w:rPr>
              <w:t>、配备≥0.95英寸嵌入式OLED触摸屏，可通过触摸屏直观操作并查看各项功能、遥控发射器、亮度、音量和电量等信息。</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套</w:t>
            </w:r>
          </w:p>
        </w:tc>
      </w:tr>
      <w:tr>
        <w:tblPrEx>
          <w:tblCellMar>
            <w:top w:w="0" w:type="dxa"/>
            <w:left w:w="108" w:type="dxa"/>
            <w:bottom w:w="0" w:type="dxa"/>
            <w:right w:w="108" w:type="dxa"/>
          </w:tblCellMar>
        </w:tblPrEx>
        <w:trPr>
          <w:trHeight w:val="122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21</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24</w:t>
            </w:r>
            <w:r>
              <w:rPr>
                <w:rFonts w:hint="eastAsia" w:ascii="宋体" w:hAnsi="宋体" w:cs="宋体"/>
                <w:color w:val="000000"/>
                <w:sz w:val="24"/>
                <w:szCs w:val="24"/>
                <w:lang w:bidi="ar"/>
              </w:rPr>
              <w:t>口千兆交换机</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4"/>
                <w:szCs w:val="24"/>
                <w:lang w:bidi="ar"/>
              </w:rPr>
            </w:pPr>
            <w:r>
              <w:rPr>
                <w:rFonts w:hint="eastAsia" w:ascii="宋体" w:hAnsi="宋体" w:cs="宋体"/>
                <w:color w:val="000000"/>
                <w:sz w:val="24"/>
                <w:szCs w:val="24"/>
                <w:lang w:bidi="ar"/>
              </w:rPr>
              <w:t>1、交换容量≥336G 包转发率≥51Mpps。</w:t>
            </w:r>
          </w:p>
          <w:p>
            <w:pPr>
              <w:textAlignment w:val="center"/>
              <w:rPr>
                <w:rFonts w:ascii="宋体" w:hAnsi="宋体" w:cs="宋体"/>
                <w:color w:val="000000"/>
                <w:sz w:val="24"/>
                <w:szCs w:val="24"/>
                <w:lang w:bidi="ar"/>
              </w:rPr>
            </w:pPr>
            <w:r>
              <w:rPr>
                <w:rFonts w:hint="eastAsia" w:ascii="宋体" w:hAnsi="宋体" w:cs="宋体"/>
                <w:color w:val="000000"/>
                <w:sz w:val="24"/>
                <w:szCs w:val="24"/>
                <w:lang w:bidi="ar"/>
              </w:rPr>
              <w:t>固化10/100/1000M以太网端口≥24个，固化1G SFP光接口≥4个。</w:t>
            </w:r>
          </w:p>
          <w:p>
            <w:pPr>
              <w:textAlignment w:val="center"/>
              <w:rPr>
                <w:rFonts w:ascii="宋体" w:hAnsi="宋体" w:cs="宋体"/>
                <w:color w:val="000000"/>
                <w:sz w:val="24"/>
                <w:szCs w:val="24"/>
                <w:lang w:bidi="ar"/>
              </w:rPr>
            </w:pPr>
            <w:r>
              <w:rPr>
                <w:rFonts w:hint="eastAsia" w:ascii="宋体" w:hAnsi="宋体" w:cs="宋体"/>
                <w:color w:val="000000"/>
                <w:sz w:val="24"/>
                <w:szCs w:val="24"/>
                <w:lang w:bidi="ar"/>
              </w:rPr>
              <w:t>2、支持POE和POE+,同时可POE供电端口≥24个，POE最大输出功率≥370W。</w:t>
            </w:r>
          </w:p>
          <w:p>
            <w:pPr>
              <w:textAlignment w:val="center"/>
              <w:rPr>
                <w:rFonts w:ascii="宋体" w:hAnsi="宋体" w:cs="宋体"/>
                <w:color w:val="000000"/>
                <w:sz w:val="24"/>
                <w:szCs w:val="24"/>
                <w:lang w:bidi="ar"/>
              </w:rPr>
            </w:pPr>
            <w:r>
              <w:rPr>
                <w:rFonts w:hint="eastAsia" w:ascii="宋体" w:hAnsi="宋体" w:cs="宋体"/>
                <w:color w:val="000000"/>
                <w:sz w:val="24"/>
                <w:szCs w:val="24"/>
                <w:lang w:bidi="ar"/>
              </w:rPr>
              <w:t>3、支持生成树协议STP(IEEE 802.1d)，RSTP(IEEE 802.1w)和MSTP(IEEE 802.1s)，完全保证快速收敛，提高容错能力，保证网络的稳定运行和链路的负载均衡，合理使用网络通道，提供冗余链路利用率。</w:t>
            </w:r>
          </w:p>
          <w:p>
            <w:pPr>
              <w:textAlignment w:val="center"/>
              <w:rPr>
                <w:rFonts w:ascii="宋体" w:hAnsi="宋体" w:cs="宋体"/>
                <w:color w:val="000000"/>
                <w:sz w:val="24"/>
                <w:szCs w:val="24"/>
                <w:lang w:bidi="ar"/>
              </w:rPr>
            </w:pPr>
            <w:r>
              <w:rPr>
                <w:rFonts w:hint="eastAsia" w:ascii="宋体" w:hAnsi="宋体" w:cs="宋体"/>
                <w:color w:val="000000"/>
                <w:sz w:val="24"/>
                <w:szCs w:val="24"/>
                <w:lang w:bidi="ar"/>
              </w:rPr>
              <w:t>4、为保证设备在受到外界机械碰撞时能够正常运行，要求所投交换机IK防护测试级别至少达到IK05。</w:t>
            </w:r>
          </w:p>
          <w:p>
            <w:pPr>
              <w:textAlignment w:val="center"/>
              <w:rPr>
                <w:rFonts w:ascii="宋体" w:hAnsi="宋体" w:cs="宋体"/>
                <w:color w:val="000000"/>
                <w:sz w:val="24"/>
                <w:szCs w:val="24"/>
                <w:lang w:bidi="ar"/>
              </w:rPr>
            </w:pPr>
            <w:r>
              <w:rPr>
                <w:rFonts w:ascii="宋体" w:hAnsi="宋体" w:cs="宋体"/>
                <w:color w:val="000000"/>
                <w:sz w:val="24"/>
                <w:szCs w:val="24"/>
                <w:lang w:bidi="ar"/>
              </w:rPr>
              <w:t>5</w:t>
            </w:r>
            <w:r>
              <w:rPr>
                <w:rFonts w:hint="eastAsia" w:ascii="宋体" w:hAnsi="宋体" w:cs="宋体"/>
                <w:color w:val="000000"/>
                <w:sz w:val="24"/>
                <w:szCs w:val="24"/>
                <w:lang w:bidi="ar"/>
              </w:rPr>
              <w:t>、支持快速链路检测协议，可快速检测链路的通断和光纤链路的单向性，并支持端口下的环路检测功能，防止端口下因私接Hub等设备形成的环路而导致网络故障的现象</w:t>
            </w:r>
          </w:p>
          <w:p>
            <w:pPr>
              <w:textAlignment w:val="center"/>
              <w:rPr>
                <w:rFonts w:ascii="宋体" w:hAnsi="宋体" w:cs="宋体"/>
                <w:color w:val="000000"/>
                <w:sz w:val="24"/>
                <w:szCs w:val="24"/>
              </w:rPr>
            </w:pPr>
            <w:r>
              <w:rPr>
                <w:rFonts w:hint="eastAsia" w:ascii="宋体" w:hAnsi="宋体" w:cs="宋体"/>
                <w:color w:val="000000"/>
                <w:sz w:val="24"/>
                <w:szCs w:val="24"/>
                <w:lang w:bidi="ar"/>
              </w:rPr>
              <w:t>6、支持特有的CPU保护策略，对发往CPU的数据流，进行流区分和优先级队列分级处理，并根据需要实施带宽限速，充分保护CPU不被非法流量占用、恶意攻击和资源消耗。</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台</w:t>
            </w:r>
          </w:p>
        </w:tc>
      </w:tr>
      <w:tr>
        <w:tblPrEx>
          <w:tblCellMar>
            <w:top w:w="0" w:type="dxa"/>
            <w:left w:w="108" w:type="dxa"/>
            <w:bottom w:w="0" w:type="dxa"/>
            <w:right w:w="108" w:type="dxa"/>
          </w:tblCellMar>
        </w:tblPrEx>
        <w:trPr>
          <w:trHeight w:val="4871"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w:t>
            </w:r>
            <w:r>
              <w:rPr>
                <w:rFonts w:ascii="宋体" w:hAnsi="宋体" w:cs="宋体"/>
                <w:color w:val="000000"/>
                <w:sz w:val="24"/>
                <w:szCs w:val="24"/>
                <w:lang w:bidi="ar"/>
              </w:rPr>
              <w:t>2</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无线AP</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4"/>
                <w:szCs w:val="24"/>
                <w:lang w:bidi="ar"/>
              </w:rPr>
            </w:pPr>
            <w:r>
              <w:rPr>
                <w:rFonts w:hint="eastAsia" w:ascii="宋体" w:hAnsi="宋体" w:cs="宋体"/>
                <w:color w:val="000000"/>
                <w:sz w:val="24"/>
                <w:szCs w:val="24"/>
                <w:lang w:bidi="ar"/>
              </w:rPr>
              <w:t>1、支持802.11ax标准，整机4条空间流，采用双路双频设计，一个2.4GHz射频卡，一个5GHz射频卡。</w:t>
            </w:r>
          </w:p>
          <w:p>
            <w:pPr>
              <w:textAlignment w:val="center"/>
              <w:rPr>
                <w:rFonts w:ascii="宋体" w:hAnsi="宋体" w:cs="宋体"/>
                <w:color w:val="000000"/>
                <w:sz w:val="24"/>
                <w:szCs w:val="24"/>
                <w:lang w:bidi="ar"/>
              </w:rPr>
            </w:pPr>
            <w:r>
              <w:rPr>
                <w:rFonts w:hint="eastAsia" w:ascii="宋体" w:hAnsi="宋体" w:cs="宋体"/>
                <w:color w:val="000000"/>
                <w:sz w:val="24"/>
                <w:szCs w:val="24"/>
                <w:lang w:bidi="ar"/>
              </w:rPr>
              <w:t>2、整机最大无线速率≥2.97Gbps，至少支持1个1G以太网端口、1个2.5GSFP光口</w:t>
            </w:r>
          </w:p>
          <w:p>
            <w:pPr>
              <w:textAlignment w:val="center"/>
              <w:rPr>
                <w:rFonts w:ascii="宋体" w:hAnsi="宋体" w:cs="宋体"/>
                <w:color w:val="000000"/>
                <w:sz w:val="24"/>
                <w:szCs w:val="24"/>
                <w:lang w:bidi="ar"/>
              </w:rPr>
            </w:pPr>
            <w:r>
              <w:rPr>
                <w:rFonts w:hint="eastAsia" w:ascii="宋体" w:hAnsi="宋体" w:cs="宋体"/>
                <w:color w:val="000000"/>
                <w:sz w:val="24"/>
                <w:szCs w:val="24"/>
                <w:lang w:bidi="ar"/>
              </w:rPr>
              <w:t>3、为保障设备受到外部机械碰撞仍可以保持结构完整、功能完备，要求所投室内无线接入点符合国标GB/T 20138-2006即《电器设备外壳对外界机械碰撞的防护等级（IK代码）》标准，至少达到防护等级IK08</w:t>
            </w:r>
          </w:p>
          <w:p>
            <w:pPr>
              <w:textAlignment w:val="center"/>
              <w:rPr>
                <w:rFonts w:ascii="宋体" w:hAnsi="宋体" w:cs="宋体"/>
                <w:color w:val="000000"/>
                <w:sz w:val="24"/>
                <w:szCs w:val="24"/>
                <w:lang w:bidi="ar"/>
              </w:rPr>
            </w:pPr>
            <w:r>
              <w:rPr>
                <w:rFonts w:hint="eastAsia" w:ascii="宋体" w:hAnsi="宋体" w:cs="宋体"/>
                <w:color w:val="000000"/>
                <w:sz w:val="24"/>
                <w:szCs w:val="24"/>
                <w:lang w:bidi="ar"/>
              </w:rPr>
              <w:t>4、为保证无线网络运行稳定，需要提供网优工具分析网络运行情况，网优工具支持设备健康状态、网络覆盖情况、网络关联成功、上网体验情况、网络活跃度、网络饱和度查询功能</w:t>
            </w:r>
          </w:p>
          <w:p>
            <w:pPr>
              <w:textAlignment w:val="center"/>
              <w:rPr>
                <w:rFonts w:ascii="宋体" w:hAnsi="宋体" w:cs="宋体"/>
                <w:color w:val="000000"/>
                <w:sz w:val="24"/>
                <w:szCs w:val="24"/>
                <w:lang w:bidi="ar"/>
              </w:rPr>
            </w:pPr>
            <w:r>
              <w:rPr>
                <w:rFonts w:hint="eastAsia" w:ascii="宋体" w:hAnsi="宋体" w:cs="宋体"/>
                <w:color w:val="000000"/>
                <w:sz w:val="24"/>
                <w:szCs w:val="24"/>
                <w:lang w:bidi="ar"/>
              </w:rPr>
              <w:t>5、支持≥100终端同时接入。</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台</w:t>
            </w:r>
          </w:p>
        </w:tc>
      </w:tr>
      <w:tr>
        <w:tblPrEx>
          <w:tblCellMar>
            <w:top w:w="0" w:type="dxa"/>
            <w:left w:w="108" w:type="dxa"/>
            <w:bottom w:w="0" w:type="dxa"/>
            <w:right w:w="108" w:type="dxa"/>
          </w:tblCellMar>
        </w:tblPrEx>
        <w:trPr>
          <w:trHeight w:val="1847"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23</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学生分组桌椅</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1.基材：C53:D60E1级刨花板，甲醛释放量≤0.124mg/m³；</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2.面材：优质耐磨三聚氢胺浸渍饰面，不易变色，表面光滑、有光泽，整体效果好；</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3.优质五金件，结实耐用不生锈，结构简单，连接牢固。</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48</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套</w:t>
            </w:r>
          </w:p>
        </w:tc>
      </w:tr>
      <w:tr>
        <w:tblPrEx>
          <w:tblCellMar>
            <w:top w:w="0" w:type="dxa"/>
            <w:left w:w="108" w:type="dxa"/>
            <w:bottom w:w="0" w:type="dxa"/>
            <w:right w:w="108" w:type="dxa"/>
          </w:tblCellMar>
        </w:tblPrEx>
        <w:trPr>
          <w:trHeight w:val="921"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24</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sz w:val="24"/>
                <w:szCs w:val="24"/>
              </w:rPr>
            </w:pPr>
            <w:r>
              <w:rPr>
                <w:rFonts w:hint="eastAsia" w:ascii="宋体" w:hAnsi="宋体" w:cs="宋体"/>
                <w:sz w:val="24"/>
                <w:szCs w:val="24"/>
                <w:lang w:bidi="ar"/>
              </w:rPr>
              <w:t>激光投影机（含支架、电动幕布）</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szCs w:val="24"/>
                <w:lang w:bidi="ar"/>
              </w:rPr>
            </w:pPr>
            <w:r>
              <w:rPr>
                <w:rFonts w:hint="eastAsia" w:ascii="宋体" w:hAnsi="宋体" w:cs="宋体"/>
                <w:sz w:val="24"/>
                <w:szCs w:val="24"/>
                <w:lang w:bidi="ar"/>
              </w:rPr>
              <w:t>1.投影技术: DLP技术、0.65英寸；</w:t>
            </w:r>
          </w:p>
          <w:p>
            <w:pPr>
              <w:jc w:val="left"/>
              <w:textAlignment w:val="center"/>
              <w:rPr>
                <w:rFonts w:ascii="宋体" w:hAnsi="宋体" w:cs="宋体"/>
                <w:sz w:val="24"/>
                <w:szCs w:val="24"/>
                <w:lang w:bidi="ar"/>
              </w:rPr>
            </w:pPr>
            <w:r>
              <w:rPr>
                <w:rFonts w:hint="eastAsia" w:ascii="宋体" w:hAnsi="宋体" w:cs="宋体"/>
                <w:sz w:val="24"/>
                <w:szCs w:val="24"/>
                <w:lang w:bidi="ar"/>
              </w:rPr>
              <w:t>▲2.具有标准化80针电脑接口，投影机可内置安装ops电脑模块；（提供具有CMA或CNAS标识的检测报告复印件并加盖投标人公章）</w:t>
            </w:r>
          </w:p>
          <w:p>
            <w:pPr>
              <w:jc w:val="left"/>
              <w:textAlignment w:val="center"/>
              <w:rPr>
                <w:rFonts w:ascii="宋体" w:hAnsi="宋体" w:cs="宋体"/>
                <w:sz w:val="24"/>
                <w:szCs w:val="24"/>
                <w:lang w:bidi="ar"/>
              </w:rPr>
            </w:pPr>
            <w:r>
              <w:rPr>
                <w:rFonts w:hint="eastAsia" w:ascii="宋体" w:hAnsi="宋体" w:cs="宋体"/>
                <w:sz w:val="24"/>
                <w:szCs w:val="24"/>
                <w:lang w:bidi="ar"/>
              </w:rPr>
              <w:t>3.光源：固态光源（纯激光） ，寿命20000h（标准）；</w:t>
            </w:r>
          </w:p>
          <w:p>
            <w:pPr>
              <w:jc w:val="left"/>
              <w:textAlignment w:val="center"/>
              <w:rPr>
                <w:rFonts w:ascii="宋体" w:hAnsi="宋体" w:cs="宋体"/>
                <w:sz w:val="24"/>
                <w:szCs w:val="24"/>
                <w:lang w:bidi="ar"/>
              </w:rPr>
            </w:pPr>
            <w:r>
              <w:rPr>
                <w:rFonts w:hint="eastAsia" w:ascii="宋体" w:hAnsi="宋体" w:cs="宋体"/>
                <w:sz w:val="24"/>
                <w:szCs w:val="24"/>
                <w:lang w:bidi="ar"/>
              </w:rPr>
              <w:t>4.标称亮度（ISO流明）：4200 ISO流明或以上；</w:t>
            </w:r>
          </w:p>
          <w:p>
            <w:pPr>
              <w:jc w:val="left"/>
              <w:textAlignment w:val="center"/>
              <w:rPr>
                <w:rFonts w:ascii="宋体" w:hAnsi="宋体" w:cs="宋体"/>
                <w:sz w:val="24"/>
                <w:szCs w:val="24"/>
                <w:lang w:bidi="ar"/>
              </w:rPr>
            </w:pPr>
            <w:r>
              <w:rPr>
                <w:rFonts w:hint="eastAsia" w:ascii="宋体" w:hAnsi="宋体" w:cs="宋体"/>
                <w:sz w:val="24"/>
                <w:szCs w:val="24"/>
                <w:lang w:bidi="ar"/>
              </w:rPr>
              <w:t>5.重量：整机重量≤6KG；</w:t>
            </w:r>
          </w:p>
          <w:p>
            <w:pPr>
              <w:jc w:val="left"/>
              <w:textAlignment w:val="center"/>
              <w:rPr>
                <w:rFonts w:ascii="宋体" w:hAnsi="宋体" w:cs="宋体"/>
                <w:sz w:val="24"/>
                <w:szCs w:val="24"/>
                <w:lang w:bidi="ar"/>
              </w:rPr>
            </w:pPr>
            <w:r>
              <w:rPr>
                <w:rFonts w:hint="eastAsia" w:ascii="宋体" w:hAnsi="宋体" w:cs="宋体"/>
                <w:sz w:val="24"/>
                <w:szCs w:val="24"/>
                <w:lang w:bidi="ar"/>
              </w:rPr>
              <w:t>6.标准分辨率：1920×1080；</w:t>
            </w:r>
          </w:p>
          <w:p>
            <w:pPr>
              <w:jc w:val="left"/>
              <w:textAlignment w:val="center"/>
              <w:rPr>
                <w:rFonts w:ascii="宋体" w:hAnsi="宋体" w:cs="宋体"/>
                <w:sz w:val="24"/>
                <w:szCs w:val="24"/>
                <w:lang w:bidi="ar"/>
              </w:rPr>
            </w:pPr>
            <w:r>
              <w:rPr>
                <w:rFonts w:hint="eastAsia" w:ascii="宋体" w:hAnsi="宋体" w:cs="宋体"/>
                <w:sz w:val="24"/>
                <w:szCs w:val="24"/>
                <w:lang w:bidi="ar"/>
              </w:rPr>
              <w:t>7.对比度：≥980000:1；</w:t>
            </w:r>
          </w:p>
          <w:p>
            <w:pPr>
              <w:jc w:val="left"/>
              <w:textAlignment w:val="center"/>
              <w:rPr>
                <w:rFonts w:ascii="宋体" w:hAnsi="宋体" w:cs="宋体"/>
                <w:sz w:val="24"/>
                <w:szCs w:val="24"/>
                <w:lang w:bidi="ar"/>
              </w:rPr>
            </w:pPr>
            <w:r>
              <w:rPr>
                <w:rFonts w:hint="eastAsia" w:ascii="宋体" w:hAnsi="宋体" w:cs="宋体"/>
                <w:sz w:val="24"/>
                <w:szCs w:val="24"/>
                <w:lang w:bidi="ar"/>
              </w:rPr>
              <w:t>8.投射80英寸画面时，镜头到画面的距离：≤47CM；</w:t>
            </w:r>
          </w:p>
          <w:p>
            <w:pPr>
              <w:jc w:val="left"/>
              <w:textAlignment w:val="center"/>
              <w:rPr>
                <w:rFonts w:ascii="宋体" w:hAnsi="宋体" w:cs="宋体"/>
                <w:sz w:val="24"/>
                <w:szCs w:val="24"/>
                <w:lang w:bidi="ar"/>
              </w:rPr>
            </w:pPr>
            <w:r>
              <w:rPr>
                <w:rFonts w:hint="eastAsia" w:ascii="宋体" w:hAnsi="宋体" w:cs="宋体"/>
                <w:sz w:val="24"/>
                <w:szCs w:val="24"/>
                <w:lang w:bidi="ar"/>
              </w:rPr>
              <w:t>9.整机功率：≤200W ；</w:t>
            </w:r>
          </w:p>
          <w:p>
            <w:pPr>
              <w:jc w:val="left"/>
              <w:textAlignment w:val="center"/>
              <w:rPr>
                <w:rFonts w:ascii="宋体" w:hAnsi="宋体" w:cs="宋体"/>
                <w:sz w:val="24"/>
                <w:szCs w:val="24"/>
                <w:lang w:bidi="ar"/>
              </w:rPr>
            </w:pPr>
            <w:r>
              <w:rPr>
                <w:rFonts w:hint="eastAsia" w:ascii="宋体" w:hAnsi="宋体" w:cs="宋体"/>
                <w:sz w:val="24"/>
                <w:szCs w:val="24"/>
                <w:lang w:bidi="ar"/>
              </w:rPr>
              <w:t>10.经济噪音：≤27dB</w:t>
            </w:r>
          </w:p>
          <w:p>
            <w:pPr>
              <w:jc w:val="left"/>
              <w:textAlignment w:val="center"/>
              <w:rPr>
                <w:rFonts w:ascii="宋体" w:hAnsi="宋体" w:cs="宋体"/>
                <w:sz w:val="24"/>
                <w:szCs w:val="24"/>
                <w:lang w:bidi="ar"/>
              </w:rPr>
            </w:pPr>
            <w:r>
              <w:rPr>
                <w:rFonts w:hint="eastAsia" w:ascii="宋体" w:hAnsi="宋体" w:cs="宋体"/>
                <w:sz w:val="24"/>
                <w:szCs w:val="24"/>
                <w:lang w:bidi="ar"/>
              </w:rPr>
              <w:t>▲11.接口：VGA in ×1，VGA out×1，HDMI in×2，视频输入×1，RS-232×1，RJ45×1， ECP×1，USB×1、分量×1（提供具有CMA或CNAS标识的检测报告复印件并加盖投标人公章）；</w:t>
            </w:r>
          </w:p>
          <w:p>
            <w:pPr>
              <w:jc w:val="left"/>
              <w:textAlignment w:val="center"/>
              <w:rPr>
                <w:rFonts w:ascii="宋体" w:hAnsi="宋体" w:cs="宋体"/>
                <w:sz w:val="24"/>
                <w:szCs w:val="24"/>
                <w:lang w:bidi="ar"/>
              </w:rPr>
            </w:pPr>
            <w:r>
              <w:rPr>
                <w:rFonts w:hint="eastAsia" w:ascii="宋体" w:hAnsi="宋体" w:cs="宋体"/>
                <w:sz w:val="24"/>
                <w:szCs w:val="24"/>
                <w:lang w:bidi="ar"/>
              </w:rPr>
              <w:t>12.色彩亮度占比：红绿蓝三色亮度之和与白色占比≥30%；</w:t>
            </w:r>
          </w:p>
          <w:p>
            <w:pPr>
              <w:jc w:val="left"/>
              <w:textAlignment w:val="center"/>
              <w:rPr>
                <w:rFonts w:ascii="宋体" w:hAnsi="宋体" w:cs="宋体"/>
                <w:sz w:val="24"/>
                <w:szCs w:val="24"/>
                <w:lang w:bidi="ar"/>
              </w:rPr>
            </w:pPr>
            <w:r>
              <w:rPr>
                <w:rFonts w:hint="eastAsia" w:ascii="宋体" w:hAnsi="宋体" w:cs="宋体"/>
                <w:sz w:val="24"/>
                <w:szCs w:val="24"/>
                <w:lang w:bidi="ar"/>
              </w:rPr>
              <w:t>13.整机能效比：≥20.00 lm/w；</w:t>
            </w:r>
          </w:p>
          <w:p>
            <w:pPr>
              <w:jc w:val="left"/>
              <w:textAlignment w:val="center"/>
              <w:rPr>
                <w:rFonts w:ascii="宋体" w:hAnsi="宋体" w:cs="宋体"/>
                <w:sz w:val="24"/>
                <w:szCs w:val="24"/>
                <w:lang w:bidi="ar"/>
              </w:rPr>
            </w:pPr>
            <w:r>
              <w:rPr>
                <w:rFonts w:hint="eastAsia" w:ascii="宋体" w:hAnsi="宋体" w:cs="宋体"/>
                <w:sz w:val="24"/>
                <w:szCs w:val="24"/>
                <w:lang w:bidi="ar"/>
              </w:rPr>
              <w:t>14.色域面积：色域覆盖度≥100%；</w:t>
            </w:r>
          </w:p>
          <w:p>
            <w:pPr>
              <w:jc w:val="left"/>
              <w:textAlignment w:val="center"/>
              <w:rPr>
                <w:rFonts w:ascii="宋体" w:hAnsi="宋体" w:cs="宋体"/>
                <w:sz w:val="24"/>
                <w:szCs w:val="24"/>
                <w:lang w:bidi="ar"/>
              </w:rPr>
            </w:pPr>
            <w:r>
              <w:rPr>
                <w:rFonts w:hint="eastAsia" w:ascii="宋体" w:hAnsi="宋体" w:cs="宋体"/>
                <w:sz w:val="24"/>
                <w:szCs w:val="24"/>
                <w:lang w:bidi="ar"/>
              </w:rPr>
              <w:t>15.显示模式：文本、颜色、医疗模式、用户、明亮、演示；</w:t>
            </w:r>
          </w:p>
          <w:p>
            <w:pPr>
              <w:jc w:val="left"/>
              <w:textAlignment w:val="center"/>
              <w:rPr>
                <w:rFonts w:ascii="宋体" w:hAnsi="宋体" w:cs="宋体"/>
                <w:sz w:val="24"/>
                <w:szCs w:val="24"/>
                <w:lang w:bidi="ar"/>
              </w:rPr>
            </w:pPr>
            <w:r>
              <w:rPr>
                <w:rFonts w:hint="eastAsia" w:ascii="宋体" w:hAnsi="宋体" w:cs="宋体"/>
                <w:sz w:val="24"/>
                <w:szCs w:val="24"/>
                <w:lang w:bidi="ar"/>
              </w:rPr>
              <w:t>16.3D模式：支持3D投影模式；</w:t>
            </w:r>
          </w:p>
          <w:p>
            <w:pPr>
              <w:jc w:val="left"/>
              <w:textAlignment w:val="center"/>
              <w:rPr>
                <w:rFonts w:ascii="宋体" w:hAnsi="宋体" w:cs="宋体"/>
                <w:sz w:val="24"/>
                <w:szCs w:val="24"/>
                <w:lang w:bidi="ar"/>
              </w:rPr>
            </w:pPr>
            <w:r>
              <w:rPr>
                <w:rFonts w:hint="eastAsia" w:ascii="宋体" w:hAnsi="宋体" w:cs="宋体"/>
                <w:sz w:val="24"/>
                <w:szCs w:val="24"/>
                <w:lang w:bidi="ar"/>
              </w:rPr>
              <w:t>17.护眼提示：长时间使用具有护眼提示；</w:t>
            </w:r>
          </w:p>
          <w:p>
            <w:pPr>
              <w:jc w:val="left"/>
              <w:textAlignment w:val="center"/>
              <w:rPr>
                <w:rFonts w:ascii="宋体" w:hAnsi="宋体" w:cs="宋体"/>
                <w:sz w:val="24"/>
                <w:szCs w:val="24"/>
                <w:lang w:bidi="ar"/>
              </w:rPr>
            </w:pPr>
            <w:r>
              <w:rPr>
                <w:rFonts w:hint="eastAsia" w:ascii="宋体" w:hAnsi="宋体" w:cs="宋体"/>
                <w:sz w:val="24"/>
                <w:szCs w:val="24"/>
                <w:lang w:bidi="ar"/>
              </w:rPr>
              <w:t>18.零秒关机：支持快速关机，最快可达到0秒关机。</w:t>
            </w:r>
          </w:p>
          <w:p>
            <w:pPr>
              <w:pStyle w:val="19"/>
              <w:spacing w:after="0"/>
              <w:ind w:left="0" w:leftChars="0" w:firstLine="0" w:firstLineChars="0"/>
              <w:rPr>
                <w:rFonts w:ascii="宋体" w:hAnsi="宋体"/>
                <w:color w:val="auto"/>
                <w:sz w:val="24"/>
                <w:szCs w:val="24"/>
                <w:lang w:bidi="ar"/>
              </w:rPr>
            </w:pPr>
            <w:r>
              <w:rPr>
                <w:rFonts w:ascii="宋体" w:hAnsi="宋体" w:eastAsia="宋体"/>
                <w:color w:val="auto"/>
                <w:sz w:val="24"/>
                <w:szCs w:val="24"/>
                <w:lang w:bidi="ar"/>
              </w:rPr>
              <w:t>19</w:t>
            </w:r>
            <w:r>
              <w:rPr>
                <w:rFonts w:hint="eastAsia" w:ascii="宋体" w:hAnsi="宋体" w:eastAsia="宋体"/>
                <w:color w:val="auto"/>
                <w:sz w:val="24"/>
                <w:szCs w:val="24"/>
                <w:lang w:bidi="ar"/>
              </w:rPr>
              <w:t>、含</w:t>
            </w:r>
            <w:r>
              <w:rPr>
                <w:rFonts w:ascii="宋体" w:hAnsi="宋体" w:eastAsia="宋体"/>
                <w:color w:val="auto"/>
                <w:sz w:val="24"/>
                <w:szCs w:val="24"/>
                <w:lang w:bidi="ar"/>
              </w:rPr>
              <w:t>100</w:t>
            </w:r>
            <w:r>
              <w:rPr>
                <w:rFonts w:hint="eastAsia" w:ascii="宋体" w:hAnsi="宋体" w:eastAsia="宋体"/>
                <w:color w:val="auto"/>
                <w:sz w:val="24"/>
                <w:szCs w:val="24"/>
                <w:lang w:bidi="ar"/>
              </w:rPr>
              <w:t>英寸配套电动幕布</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台</w:t>
            </w:r>
          </w:p>
        </w:tc>
      </w:tr>
      <w:tr>
        <w:tblPrEx>
          <w:tblCellMar>
            <w:top w:w="0" w:type="dxa"/>
            <w:left w:w="108" w:type="dxa"/>
            <w:bottom w:w="0" w:type="dxa"/>
            <w:right w:w="108" w:type="dxa"/>
          </w:tblCellMar>
        </w:tblPrEx>
        <w:trPr>
          <w:trHeight w:val="921"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lang w:bidi="ar"/>
              </w:rPr>
              <w:t>25</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面光灯</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lang w:bidi="ar"/>
              </w:rPr>
              <w:t>1.120W大功率LED摄影灯，电压110V-230V，色温3200-5600K，显色指数＞97，含轨道吊臂。</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2</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套</w:t>
            </w:r>
          </w:p>
        </w:tc>
      </w:tr>
      <w:tr>
        <w:tblPrEx>
          <w:tblCellMar>
            <w:top w:w="0" w:type="dxa"/>
            <w:left w:w="108" w:type="dxa"/>
            <w:bottom w:w="0" w:type="dxa"/>
            <w:right w:w="108" w:type="dxa"/>
          </w:tblCellMar>
        </w:tblPrEx>
        <w:trPr>
          <w:trHeight w:val="617"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rPr>
              <w:t>26</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卷轴抠像幕布</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lang w:bidi="ar"/>
              </w:rPr>
              <w:t>1.2.1米*2.5米，绿色抠像幕布。</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套</w:t>
            </w:r>
          </w:p>
        </w:tc>
      </w:tr>
      <w:tr>
        <w:tblPrEx>
          <w:tblCellMar>
            <w:top w:w="0" w:type="dxa"/>
            <w:left w:w="108" w:type="dxa"/>
            <w:bottom w:w="0" w:type="dxa"/>
            <w:right w:w="108" w:type="dxa"/>
          </w:tblCellMar>
        </w:tblPrEx>
        <w:trPr>
          <w:trHeight w:val="24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ascii="宋体" w:hAnsi="宋体" w:cs="宋体"/>
                <w:color w:val="000000"/>
                <w:sz w:val="24"/>
                <w:szCs w:val="24"/>
              </w:rPr>
              <w:t>27</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智能远程控制器</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1.通讯方式：850MHz；900MHz；红外收发：红外码库支持自动更新。码库方便蓝牙,NB-IOT透传；</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▲2。具备NB-IOT远程控制功能；（提供具有CMA或CNAS标识的检测报告复印件并加盖投标人公章）</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3.具有蓝牙模块、具有小程序控制、支持远程/近场通断电控制；</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▲4.支持用电过载保护，可通过内部限流元器件自定义设置额定电流，过载可实现自动断电保护;（提供具有CMA或CNAS标识的检测报告复印件并加盖投标人公章）</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5.支持后台进行数据统计，绿色节能;</w:t>
            </w:r>
          </w:p>
          <w:p>
            <w:pPr>
              <w:jc w:val="left"/>
              <w:textAlignment w:val="center"/>
              <w:rPr>
                <w:rFonts w:ascii="宋体" w:hAnsi="宋体" w:cs="宋体"/>
                <w:color w:val="000000"/>
                <w:sz w:val="24"/>
                <w:szCs w:val="24"/>
              </w:rPr>
            </w:pPr>
            <w:r>
              <w:rPr>
                <w:rFonts w:hint="eastAsia" w:ascii="宋体" w:hAnsi="宋体" w:cs="宋体"/>
                <w:color w:val="000000"/>
                <w:sz w:val="24"/>
                <w:szCs w:val="24"/>
                <w:lang w:bidi="ar"/>
              </w:rPr>
              <w:t>6.支持云端控制产品的实时状态。</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套</w:t>
            </w:r>
          </w:p>
        </w:tc>
      </w:tr>
      <w:tr>
        <w:tblPrEx>
          <w:tblCellMar>
            <w:top w:w="0" w:type="dxa"/>
            <w:left w:w="108" w:type="dxa"/>
            <w:bottom w:w="0" w:type="dxa"/>
            <w:right w:w="108" w:type="dxa"/>
          </w:tblCellMar>
        </w:tblPrEx>
        <w:trPr>
          <w:trHeight w:val="314" w:hRule="atLeast"/>
          <w:jc w:val="center"/>
        </w:trPr>
        <w:tc>
          <w:tcPr>
            <w:tcW w:w="1003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4"/>
                <w:szCs w:val="24"/>
                <w:lang w:bidi="ar"/>
              </w:rPr>
            </w:pPr>
            <w:r>
              <w:rPr>
                <w:rFonts w:hint="eastAsia" w:ascii="宋体" w:hAnsi="宋体" w:cs="宋体"/>
                <w:b/>
                <w:bCs/>
                <w:color w:val="000000"/>
                <w:sz w:val="24"/>
                <w:szCs w:val="24"/>
                <w:lang w:bidi="ar"/>
              </w:rPr>
              <w:t>2.2装修改造</w:t>
            </w:r>
          </w:p>
        </w:tc>
      </w:tr>
      <w:tr>
        <w:tblPrEx>
          <w:tblCellMar>
            <w:top w:w="0" w:type="dxa"/>
            <w:left w:w="108" w:type="dxa"/>
            <w:bottom w:w="0" w:type="dxa"/>
            <w:right w:w="108" w:type="dxa"/>
          </w:tblCellMar>
        </w:tblPrEx>
        <w:trPr>
          <w:trHeight w:val="314" w:hRule="atLeast"/>
          <w:jc w:val="center"/>
        </w:trPr>
        <w:tc>
          <w:tcPr>
            <w:tcW w:w="1003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4"/>
                <w:szCs w:val="24"/>
                <w:lang w:bidi="ar"/>
              </w:rPr>
            </w:pPr>
            <w:r>
              <w:rPr>
                <w:rFonts w:hint="eastAsia" w:ascii="宋体" w:hAnsi="宋体" w:cs="宋体"/>
                <w:b/>
                <w:bCs/>
                <w:color w:val="000000"/>
                <w:sz w:val="24"/>
                <w:szCs w:val="24"/>
                <w:lang w:bidi="ar"/>
              </w:rPr>
              <w:t>2.2.1拆除工程</w:t>
            </w:r>
          </w:p>
        </w:tc>
      </w:tr>
      <w:tr>
        <w:tblPrEx>
          <w:tblCellMar>
            <w:top w:w="0" w:type="dxa"/>
            <w:left w:w="108" w:type="dxa"/>
            <w:bottom w:w="0" w:type="dxa"/>
            <w:right w:w="108" w:type="dxa"/>
          </w:tblCellMar>
        </w:tblPrEx>
        <w:trPr>
          <w:trHeight w:val="309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拆除杂项</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ascii="宋体" w:hAnsi="宋体" w:cs="宋体"/>
                <w:color w:val="000000"/>
                <w:sz w:val="24"/>
                <w:szCs w:val="24"/>
                <w:lang w:bidi="ar"/>
              </w:rPr>
              <w:t>1</w:t>
            </w:r>
            <w:r>
              <w:rPr>
                <w:rFonts w:hint="eastAsia" w:ascii="宋体" w:hAnsi="宋体" w:cs="宋体"/>
                <w:color w:val="000000"/>
                <w:sz w:val="24"/>
                <w:szCs w:val="24"/>
                <w:lang w:bidi="ar"/>
              </w:rPr>
              <w:t>.门洞口寸:900*2500拆除，并运送到学校指定地点。</w:t>
            </w:r>
          </w:p>
          <w:p>
            <w:pPr>
              <w:pStyle w:val="19"/>
              <w:spacing w:after="0" w:line="240" w:lineRule="auto"/>
              <w:ind w:left="0" w:leftChars="0" w:firstLine="0" w:firstLineChars="0"/>
              <w:jc w:val="left"/>
              <w:rPr>
                <w:rFonts w:ascii="宋体" w:hAnsi="宋体" w:eastAsia="宋体" w:cs="宋体"/>
                <w:color w:val="000000"/>
                <w:sz w:val="24"/>
                <w:szCs w:val="24"/>
                <w:lang w:bidi="ar"/>
              </w:rPr>
            </w:pPr>
            <w:r>
              <w:rPr>
                <w:rFonts w:hint="eastAsia" w:ascii="宋体" w:hAnsi="宋体" w:eastAsia="宋体" w:cs="宋体"/>
                <w:color w:val="000000"/>
                <w:sz w:val="24"/>
                <w:szCs w:val="24"/>
                <w:lang w:bidi="ar"/>
              </w:rPr>
              <w:t>门洞口寸:1400*2500拆除，并运送到学校指定地点。</w:t>
            </w:r>
          </w:p>
          <w:p>
            <w:pPr>
              <w:pStyle w:val="19"/>
              <w:spacing w:after="0" w:line="240" w:lineRule="auto"/>
              <w:ind w:left="0" w:leftChars="0" w:firstLine="0" w:firstLineChars="0"/>
              <w:jc w:val="left"/>
              <w:rPr>
                <w:rFonts w:ascii="宋体" w:hAnsi="宋体" w:eastAsia="宋体" w:cs="宋体"/>
                <w:color w:val="000000"/>
                <w:sz w:val="24"/>
                <w:szCs w:val="24"/>
                <w:lang w:bidi="ar"/>
              </w:rPr>
            </w:pPr>
            <w:r>
              <w:rPr>
                <w:rFonts w:ascii="宋体" w:hAnsi="宋体" w:eastAsia="宋体" w:cs="宋体"/>
                <w:color w:val="000000"/>
                <w:sz w:val="24"/>
                <w:szCs w:val="24"/>
                <w:lang w:bidi="ar"/>
              </w:rPr>
              <w:t>2</w:t>
            </w:r>
            <w:r>
              <w:rPr>
                <w:rFonts w:hint="eastAsia" w:ascii="宋体" w:hAnsi="宋体" w:eastAsia="宋体" w:cs="宋体"/>
                <w:color w:val="000000"/>
                <w:sz w:val="24"/>
                <w:szCs w:val="24"/>
                <w:lang w:bidi="ar"/>
              </w:rPr>
              <w:t>.窗帘及轨道等零星拆除,并运送到学校指定地点。</w:t>
            </w:r>
          </w:p>
          <w:p>
            <w:pPr>
              <w:pStyle w:val="19"/>
              <w:spacing w:after="0" w:line="240" w:lineRule="auto"/>
              <w:ind w:left="0" w:leftChars="0" w:firstLine="0" w:firstLineChars="0"/>
              <w:jc w:val="left"/>
              <w:rPr>
                <w:rFonts w:ascii="宋体" w:hAnsi="宋体" w:eastAsia="宋体" w:cs="宋体"/>
                <w:color w:val="000000"/>
                <w:sz w:val="24"/>
                <w:szCs w:val="24"/>
                <w:lang w:bidi="ar"/>
              </w:rPr>
            </w:pPr>
            <w:r>
              <w:rPr>
                <w:rFonts w:ascii="宋体" w:hAnsi="宋体" w:eastAsia="宋体" w:cs="宋体"/>
                <w:color w:val="000000"/>
                <w:sz w:val="24"/>
                <w:szCs w:val="24"/>
                <w:lang w:bidi="ar"/>
              </w:rPr>
              <w:t>3</w:t>
            </w:r>
            <w:r>
              <w:rPr>
                <w:rFonts w:hint="eastAsia" w:ascii="宋体" w:hAnsi="宋体" w:eastAsia="宋体" w:cs="宋体"/>
                <w:color w:val="000000"/>
                <w:sz w:val="24"/>
                <w:szCs w:val="24"/>
                <w:lang w:bidi="ar"/>
              </w:rPr>
              <w:t>.黑板及配件拆除，清运至甲方指定地点,垃圾清运运距自行考虑。</w:t>
            </w:r>
          </w:p>
          <w:p>
            <w:pPr>
              <w:pStyle w:val="19"/>
              <w:spacing w:after="0" w:line="240" w:lineRule="auto"/>
              <w:ind w:left="0" w:leftChars="0" w:firstLine="0" w:firstLineChars="0"/>
              <w:jc w:val="left"/>
              <w:rPr>
                <w:rFonts w:ascii="宋体" w:hAnsi="宋体" w:eastAsia="宋体" w:cs="宋体"/>
                <w:color w:val="000000"/>
                <w:sz w:val="24"/>
                <w:szCs w:val="24"/>
                <w:lang w:bidi="ar"/>
              </w:rPr>
            </w:pPr>
            <w:r>
              <w:rPr>
                <w:rFonts w:ascii="宋体" w:hAnsi="宋体" w:eastAsia="宋体" w:cs="宋体"/>
                <w:color w:val="000000"/>
                <w:sz w:val="24"/>
                <w:szCs w:val="24"/>
                <w:lang w:bidi="ar"/>
              </w:rPr>
              <w:t>4</w:t>
            </w:r>
            <w:r>
              <w:rPr>
                <w:rFonts w:hint="eastAsia" w:ascii="宋体" w:hAnsi="宋体" w:eastAsia="宋体" w:cs="宋体"/>
                <w:color w:val="000000"/>
                <w:sz w:val="24"/>
                <w:szCs w:val="24"/>
                <w:lang w:bidi="ar"/>
              </w:rPr>
              <w:t>.原矿棉吊顶拆除，清运至校方指定地点。</w:t>
            </w:r>
          </w:p>
          <w:p>
            <w:pPr>
              <w:pStyle w:val="19"/>
              <w:spacing w:after="0" w:line="240" w:lineRule="auto"/>
              <w:ind w:left="0" w:leftChars="0" w:firstLine="0" w:firstLineChars="0"/>
              <w:jc w:val="left"/>
              <w:rPr>
                <w:rFonts w:ascii="宋体" w:hAnsi="宋体" w:eastAsia="宋体" w:cs="宋体"/>
                <w:color w:val="000000"/>
                <w:sz w:val="24"/>
                <w:szCs w:val="24"/>
                <w:lang w:bidi="ar"/>
              </w:rPr>
            </w:pPr>
            <w:r>
              <w:rPr>
                <w:rFonts w:ascii="宋体" w:hAnsi="宋体" w:eastAsia="宋体" w:cs="宋体"/>
                <w:color w:val="000000"/>
                <w:sz w:val="24"/>
                <w:szCs w:val="24"/>
                <w:lang w:bidi="ar"/>
              </w:rPr>
              <w:t>5</w:t>
            </w:r>
            <w:r>
              <w:rPr>
                <w:rFonts w:hint="eastAsia" w:ascii="宋体" w:hAnsi="宋体" w:eastAsia="宋体" w:cs="宋体"/>
                <w:color w:val="000000"/>
                <w:sz w:val="24"/>
                <w:szCs w:val="24"/>
                <w:lang w:bidi="ar"/>
              </w:rPr>
              <w:t>.原有灯具拆除，运至甲方指定地点。</w:t>
            </w:r>
          </w:p>
          <w:p>
            <w:pPr>
              <w:pStyle w:val="19"/>
              <w:spacing w:after="0" w:line="240" w:lineRule="auto"/>
              <w:ind w:left="0" w:leftChars="0" w:firstLine="0" w:firstLineChars="0"/>
              <w:jc w:val="left"/>
              <w:rPr>
                <w:lang w:bidi="ar"/>
              </w:rPr>
            </w:pPr>
            <w:r>
              <w:rPr>
                <w:rFonts w:ascii="宋体" w:hAnsi="宋体" w:eastAsia="宋体" w:cs="宋体"/>
                <w:color w:val="000000"/>
                <w:sz w:val="24"/>
                <w:szCs w:val="24"/>
                <w:lang w:bidi="ar"/>
              </w:rPr>
              <w:t>6</w:t>
            </w:r>
            <w:r>
              <w:rPr>
                <w:rFonts w:hint="eastAsia" w:ascii="宋体" w:hAnsi="宋体" w:eastAsia="宋体" w:cs="宋体"/>
                <w:color w:val="000000"/>
                <w:sz w:val="24"/>
                <w:szCs w:val="24"/>
                <w:lang w:bidi="ar"/>
              </w:rPr>
              <w:t>.原有投影幕布及投影吊架拆除。1.原有摄像机、音箱、明线管、室内杂物等拆除运至甲方指定地点。</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项</w:t>
            </w:r>
          </w:p>
        </w:tc>
      </w:tr>
      <w:tr>
        <w:tblPrEx>
          <w:tblCellMar>
            <w:top w:w="0" w:type="dxa"/>
            <w:left w:w="108" w:type="dxa"/>
            <w:bottom w:w="0" w:type="dxa"/>
            <w:right w:w="108" w:type="dxa"/>
          </w:tblCellMar>
        </w:tblPrEx>
        <w:trPr>
          <w:trHeight w:val="314" w:hRule="atLeast"/>
          <w:jc w:val="center"/>
        </w:trPr>
        <w:tc>
          <w:tcPr>
            <w:tcW w:w="1003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b/>
                <w:bCs/>
                <w:color w:val="000000"/>
                <w:sz w:val="24"/>
                <w:szCs w:val="24"/>
                <w:lang w:bidi="ar"/>
              </w:rPr>
              <w:t>2.2.2出新工程</w:t>
            </w:r>
          </w:p>
        </w:tc>
      </w:tr>
      <w:tr>
        <w:tblPrEx>
          <w:tblCellMar>
            <w:top w:w="0" w:type="dxa"/>
            <w:left w:w="108" w:type="dxa"/>
            <w:bottom w:w="0" w:type="dxa"/>
            <w:right w:w="108" w:type="dxa"/>
          </w:tblCellMar>
        </w:tblPrEx>
        <w:trPr>
          <w:trHeight w:val="921"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水泥砂浆基层找平，水泥自流平</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1.水泥砂浆基层找平，2.5mm厚建筑胶水泥基自流平砂浆地面。</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122.9</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平方</w:t>
            </w:r>
          </w:p>
        </w:tc>
      </w:tr>
      <w:tr>
        <w:tblPrEx>
          <w:tblCellMar>
            <w:top w:w="0" w:type="dxa"/>
            <w:left w:w="108" w:type="dxa"/>
            <w:bottom w:w="0" w:type="dxa"/>
            <w:right w:w="108" w:type="dxa"/>
          </w:tblCellMar>
        </w:tblPrEx>
        <w:trPr>
          <w:trHeight w:val="122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PVC地胶</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1.面层材料品种、规格：2mm浅蓝色同质透心PVC地胶，无方向性克重≤2850，耐磨达到T级，防火达到B1级；</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2.施工时保证PVC地胶接缝处无瑕疵。</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122.9</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平方</w:t>
            </w:r>
          </w:p>
        </w:tc>
      </w:tr>
      <w:tr>
        <w:tblPrEx>
          <w:tblCellMar>
            <w:top w:w="0" w:type="dxa"/>
            <w:left w:w="108" w:type="dxa"/>
            <w:bottom w:w="0" w:type="dxa"/>
            <w:right w:w="108" w:type="dxa"/>
          </w:tblCellMar>
        </w:tblPrEx>
        <w:trPr>
          <w:trHeight w:val="122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3</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100不锈钢踢脚线</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1.踢脚线高度:100mm；</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2.基层材料种类、规格:不锈钢；</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3.面层材料品种、规格、颜色:白色304不锈钢1mm厚。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43.9</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米</w:t>
            </w:r>
          </w:p>
        </w:tc>
      </w:tr>
      <w:tr>
        <w:tblPrEx>
          <w:tblCellMar>
            <w:top w:w="0" w:type="dxa"/>
            <w:left w:w="108" w:type="dxa"/>
            <w:bottom w:w="0" w:type="dxa"/>
            <w:right w:w="108" w:type="dxa"/>
          </w:tblCellMar>
        </w:tblPrEx>
        <w:trPr>
          <w:trHeight w:val="31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4</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铝合金压条</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1.铝合金压条，台阶处及地胶收口处。</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8.2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米</w:t>
            </w:r>
          </w:p>
        </w:tc>
      </w:tr>
      <w:tr>
        <w:tblPrEx>
          <w:tblCellMar>
            <w:top w:w="0" w:type="dxa"/>
            <w:left w:w="108" w:type="dxa"/>
            <w:bottom w:w="0" w:type="dxa"/>
            <w:right w:w="108" w:type="dxa"/>
          </w:tblCellMar>
        </w:tblPrEx>
        <w:trPr>
          <w:trHeight w:val="617"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5</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墙面吸音装饰板</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1.木工板基层，聚酯纤维吸音板饰面。</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85.55</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平方</w:t>
            </w:r>
          </w:p>
        </w:tc>
      </w:tr>
      <w:tr>
        <w:tblPrEx>
          <w:tblCellMar>
            <w:top w:w="0" w:type="dxa"/>
            <w:left w:w="108" w:type="dxa"/>
            <w:bottom w:w="0" w:type="dxa"/>
            <w:right w:w="108" w:type="dxa"/>
          </w:tblCellMar>
        </w:tblPrEx>
        <w:trPr>
          <w:trHeight w:val="921"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6</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教室门更换（单开）</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1.门代号及洞口尺寸:900*2500；</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2.木质门，含门套、智能门锁及其他五金配件。</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樘</w:t>
            </w:r>
          </w:p>
        </w:tc>
      </w:tr>
      <w:tr>
        <w:tblPrEx>
          <w:tblCellMar>
            <w:top w:w="0" w:type="dxa"/>
            <w:left w:w="108" w:type="dxa"/>
            <w:bottom w:w="0" w:type="dxa"/>
            <w:right w:w="108" w:type="dxa"/>
          </w:tblCellMar>
        </w:tblPrEx>
        <w:trPr>
          <w:trHeight w:val="921"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7</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教室门更换（双开）</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1.门代号及洞口尺寸:1400*2500；</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2.木质门，含门套、智能门锁及其他五金配件。</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樘</w:t>
            </w:r>
          </w:p>
        </w:tc>
      </w:tr>
      <w:tr>
        <w:tblPrEx>
          <w:tblCellMar>
            <w:top w:w="0" w:type="dxa"/>
            <w:left w:w="108" w:type="dxa"/>
            <w:bottom w:w="0" w:type="dxa"/>
            <w:right w:w="108" w:type="dxa"/>
          </w:tblCellMar>
        </w:tblPrEx>
        <w:trPr>
          <w:trHeight w:val="921"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8</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窗帘盒制作</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1.窗帘盒材质、规格:200*200mm窗帘盒；</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2.18mm多层板，9.5mm纸面石膏板刷白色乳胶漆。</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12.9</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米</w:t>
            </w:r>
          </w:p>
        </w:tc>
      </w:tr>
      <w:tr>
        <w:tblPrEx>
          <w:tblCellMar>
            <w:top w:w="0" w:type="dxa"/>
            <w:left w:w="108" w:type="dxa"/>
            <w:bottom w:w="0" w:type="dxa"/>
            <w:right w:w="108" w:type="dxa"/>
          </w:tblCellMar>
        </w:tblPrEx>
        <w:trPr>
          <w:trHeight w:val="617"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9</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窗帘</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1.窗帘材质:全遮光；                                  2.窗帘颜色:待选。</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12.9</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米</w:t>
            </w:r>
          </w:p>
        </w:tc>
      </w:tr>
      <w:tr>
        <w:tblPrEx>
          <w:tblCellMar>
            <w:top w:w="0" w:type="dxa"/>
            <w:left w:w="108" w:type="dxa"/>
            <w:bottom w:w="0" w:type="dxa"/>
            <w:right w:w="108" w:type="dxa"/>
          </w:tblCellMar>
        </w:tblPrEx>
        <w:trPr>
          <w:trHeight w:val="169"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10</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铝扣板吊顶</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Style w:val="43"/>
                <w:rFonts w:hint="default"/>
                <w:sz w:val="24"/>
                <w:szCs w:val="24"/>
                <w:lang w:bidi="ar"/>
              </w:rPr>
            </w:pPr>
            <w:r>
              <w:rPr>
                <w:rStyle w:val="43"/>
                <w:rFonts w:hint="default"/>
                <w:sz w:val="24"/>
                <w:szCs w:val="24"/>
                <w:lang w:bidi="ar"/>
              </w:rPr>
              <w:t>1.天棚吊筋</w:t>
            </w:r>
            <w:r>
              <w:rPr>
                <w:rStyle w:val="44"/>
                <w:rFonts w:hint="eastAsia" w:ascii="宋体" w:hAnsi="宋体" w:cs="宋体"/>
                <w:sz w:val="24"/>
                <w:szCs w:val="24"/>
                <w:lang w:bidi="ar"/>
              </w:rPr>
              <w:t>Φ</w:t>
            </w:r>
            <w:r>
              <w:rPr>
                <w:rStyle w:val="43"/>
                <w:rFonts w:hint="default"/>
                <w:sz w:val="24"/>
                <w:szCs w:val="24"/>
                <w:lang w:bidi="ar"/>
              </w:rPr>
              <w:t>8，吊顶高度根据框架梁的下口高度确定；</w:t>
            </w:r>
          </w:p>
          <w:p>
            <w:pPr>
              <w:jc w:val="left"/>
              <w:textAlignment w:val="center"/>
              <w:rPr>
                <w:rStyle w:val="43"/>
                <w:rFonts w:hint="default"/>
                <w:sz w:val="24"/>
                <w:szCs w:val="24"/>
                <w:lang w:bidi="ar"/>
              </w:rPr>
            </w:pPr>
            <w:r>
              <w:rPr>
                <w:rStyle w:val="43"/>
                <w:rFonts w:hint="default"/>
                <w:sz w:val="24"/>
                <w:szCs w:val="24"/>
                <w:lang w:bidi="ar"/>
              </w:rPr>
              <w:t>2.龙骨材料种类、规格、中距:轻钢龙骨；中距600*600mm；</w:t>
            </w:r>
          </w:p>
          <w:p>
            <w:pPr>
              <w:jc w:val="left"/>
              <w:textAlignment w:val="center"/>
              <w:rPr>
                <w:rFonts w:ascii="宋体" w:hAnsi="宋体" w:cs="宋体"/>
                <w:color w:val="000000"/>
                <w:sz w:val="24"/>
                <w:szCs w:val="24"/>
                <w:lang w:bidi="ar"/>
              </w:rPr>
            </w:pPr>
            <w:r>
              <w:rPr>
                <w:rStyle w:val="43"/>
                <w:rFonts w:hint="default"/>
                <w:sz w:val="24"/>
                <w:szCs w:val="24"/>
                <w:lang w:bidi="ar"/>
              </w:rPr>
              <w:t>2.面层材料品种、规格:600*600矿棉板。</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79.8</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平方</w:t>
            </w:r>
          </w:p>
        </w:tc>
      </w:tr>
      <w:tr>
        <w:tblPrEx>
          <w:tblCellMar>
            <w:top w:w="0" w:type="dxa"/>
            <w:left w:w="108" w:type="dxa"/>
            <w:bottom w:w="0" w:type="dxa"/>
            <w:right w:w="108" w:type="dxa"/>
          </w:tblCellMar>
        </w:tblPrEx>
        <w:trPr>
          <w:trHeight w:val="122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11</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石膏板灯槽吊顶</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1.φ8全螺吊杆楼板固定；</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2.50系列轻钢龙骨；</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3.双层9.5mm厚石膏板，预留线性灯的灯槽，含线性灯。</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43.9</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平方</w:t>
            </w:r>
          </w:p>
        </w:tc>
      </w:tr>
      <w:tr>
        <w:tblPrEx>
          <w:tblCellMar>
            <w:top w:w="0" w:type="dxa"/>
            <w:left w:w="108" w:type="dxa"/>
            <w:bottom w:w="0" w:type="dxa"/>
            <w:right w:w="108" w:type="dxa"/>
          </w:tblCellMar>
        </w:tblPrEx>
        <w:trPr>
          <w:trHeight w:val="314" w:hRule="atLeast"/>
          <w:jc w:val="center"/>
        </w:trPr>
        <w:tc>
          <w:tcPr>
            <w:tcW w:w="1003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b/>
                <w:bCs/>
                <w:color w:val="000000"/>
                <w:sz w:val="24"/>
                <w:szCs w:val="24"/>
                <w:lang w:bidi="ar"/>
              </w:rPr>
              <w:t>2.2.3安装工程</w:t>
            </w:r>
          </w:p>
        </w:tc>
      </w:tr>
      <w:tr>
        <w:tblPrEx>
          <w:tblCellMar>
            <w:top w:w="0" w:type="dxa"/>
            <w:left w:w="108" w:type="dxa"/>
            <w:bottom w:w="0" w:type="dxa"/>
            <w:right w:w="108" w:type="dxa"/>
          </w:tblCellMar>
        </w:tblPrEx>
        <w:trPr>
          <w:trHeight w:val="921"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LED平板灯</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1.光电参数：≥36W 5000K  Ra90 ；</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2。其他：≥L600*W600*H65（mm）电镀格栅 T型龙骨。</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套</w:t>
            </w:r>
          </w:p>
        </w:tc>
      </w:tr>
      <w:tr>
        <w:tblPrEx>
          <w:tblCellMar>
            <w:top w:w="0" w:type="dxa"/>
            <w:left w:w="108" w:type="dxa"/>
            <w:bottom w:w="0" w:type="dxa"/>
            <w:right w:w="108" w:type="dxa"/>
          </w:tblCellMar>
        </w:tblPrEx>
        <w:trPr>
          <w:trHeight w:val="617"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开关面板</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1.名称:四联扳式暗开关；</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2.规格:86H。</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921"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3</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五孔插座（10A）</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1.名称:5孔插座；</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2.规格:10A；</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3.智慧黑板、蓝箱处设备供电。</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6？</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617"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4</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信息插座</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1.网络插座，距地0.3m；</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2.智慧黑板、蓝箱各一处。</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31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5</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空气开关</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C16单P，蓝箱区域灯光供电。</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个</w:t>
            </w:r>
          </w:p>
        </w:tc>
      </w:tr>
      <w:tr>
        <w:tblPrEx>
          <w:tblCellMar>
            <w:top w:w="0" w:type="dxa"/>
            <w:left w:w="108" w:type="dxa"/>
            <w:bottom w:w="0" w:type="dxa"/>
            <w:right w:w="108" w:type="dxa"/>
          </w:tblCellMar>
        </w:tblPrEx>
        <w:trPr>
          <w:trHeight w:val="1529"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ascii="宋体" w:hAnsi="宋体" w:cs="宋体"/>
                <w:color w:val="000000"/>
                <w:sz w:val="24"/>
                <w:szCs w:val="24"/>
                <w:lang w:bidi="ar"/>
              </w:rPr>
              <w:t>6</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空调</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w:t>
            </w:r>
            <w:r>
              <w:rPr>
                <w:rFonts w:ascii="宋体" w:hAnsi="宋体" w:cs="宋体"/>
                <w:color w:val="000000"/>
                <w:sz w:val="24"/>
                <w:szCs w:val="24"/>
                <w:lang w:bidi="ar"/>
              </w:rPr>
              <w:t>5</w:t>
            </w:r>
            <w:r>
              <w:rPr>
                <w:rFonts w:hint="eastAsia" w:ascii="宋体" w:hAnsi="宋体" w:cs="宋体"/>
                <w:color w:val="000000"/>
                <w:sz w:val="24"/>
                <w:szCs w:val="24"/>
                <w:lang w:bidi="ar"/>
              </w:rPr>
              <w:t>匹吸顶机</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2.循环风量≥</w:t>
            </w:r>
            <w:r>
              <w:rPr>
                <w:rFonts w:ascii="宋体" w:hAnsi="宋体" w:cs="宋体"/>
                <w:color w:val="000000"/>
                <w:sz w:val="24"/>
                <w:szCs w:val="24"/>
                <w:lang w:bidi="ar"/>
              </w:rPr>
              <w:t>2050m³/h</w:t>
            </w:r>
          </w:p>
          <w:p>
            <w:pPr>
              <w:jc w:val="left"/>
              <w:textAlignment w:val="center"/>
              <w:rPr>
                <w:rFonts w:ascii="宋体" w:hAnsi="宋体" w:cs="宋体"/>
                <w:color w:val="000000"/>
                <w:sz w:val="24"/>
                <w:szCs w:val="24"/>
                <w:lang w:bidi="ar"/>
              </w:rPr>
            </w:pPr>
            <w:r>
              <w:rPr>
                <w:rFonts w:ascii="宋体" w:hAnsi="宋体" w:cs="宋体"/>
                <w:color w:val="000000"/>
                <w:sz w:val="24"/>
                <w:szCs w:val="24"/>
                <w:lang w:bidi="ar"/>
              </w:rPr>
              <w:t>3</w:t>
            </w:r>
            <w:r>
              <w:rPr>
                <w:rFonts w:hint="eastAsia" w:ascii="宋体" w:hAnsi="宋体" w:cs="宋体"/>
                <w:color w:val="000000"/>
                <w:sz w:val="24"/>
                <w:szCs w:val="24"/>
                <w:lang w:bidi="ar"/>
              </w:rPr>
              <w:t>.支持电辅加热，电辅加热功率≥3</w:t>
            </w:r>
            <w:r>
              <w:rPr>
                <w:rFonts w:ascii="宋体" w:hAnsi="宋体" w:cs="宋体"/>
                <w:color w:val="000000"/>
                <w:sz w:val="24"/>
                <w:szCs w:val="24"/>
                <w:lang w:bidi="ar"/>
              </w:rPr>
              <w:t>500</w:t>
            </w:r>
            <w:r>
              <w:rPr>
                <w:rFonts w:hint="eastAsia" w:ascii="宋体" w:hAnsi="宋体" w:cs="宋体"/>
                <w:color w:val="000000"/>
                <w:sz w:val="24"/>
                <w:szCs w:val="24"/>
                <w:lang w:bidi="ar"/>
              </w:rPr>
              <w:t>W</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4.制热量≥</w:t>
            </w:r>
            <w:r>
              <w:rPr>
                <w:rFonts w:ascii="宋体" w:hAnsi="宋体" w:cs="宋体"/>
                <w:color w:val="000000"/>
                <w:sz w:val="24"/>
                <w:szCs w:val="24"/>
                <w:lang w:bidi="ar"/>
              </w:rPr>
              <w:t>13810W</w:t>
            </w:r>
          </w:p>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5.制冷量≥</w:t>
            </w:r>
            <w:r>
              <w:rPr>
                <w:rFonts w:ascii="宋体" w:hAnsi="宋体" w:cs="宋体"/>
                <w:color w:val="000000"/>
                <w:sz w:val="24"/>
                <w:szCs w:val="24"/>
                <w:lang w:bidi="ar"/>
              </w:rPr>
              <w:t>12110W</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台</w:t>
            </w:r>
          </w:p>
        </w:tc>
      </w:tr>
      <w:tr>
        <w:tblPrEx>
          <w:tblCellMar>
            <w:top w:w="0" w:type="dxa"/>
            <w:left w:w="108" w:type="dxa"/>
            <w:bottom w:w="0" w:type="dxa"/>
            <w:right w:w="108" w:type="dxa"/>
          </w:tblCellMar>
        </w:tblPrEx>
        <w:trPr>
          <w:trHeight w:val="31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ascii="宋体" w:hAnsi="宋体" w:cs="宋体"/>
                <w:color w:val="000000"/>
                <w:sz w:val="24"/>
                <w:szCs w:val="24"/>
                <w:lang w:bidi="ar"/>
              </w:rPr>
              <w:t>7</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配管</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1.砖、混凝土结构暗配电线管DN25。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122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米</w:t>
            </w:r>
          </w:p>
        </w:tc>
      </w:tr>
      <w:tr>
        <w:tblPrEx>
          <w:tblCellMar>
            <w:top w:w="0" w:type="dxa"/>
            <w:left w:w="108" w:type="dxa"/>
            <w:bottom w:w="0" w:type="dxa"/>
            <w:right w:w="108" w:type="dxa"/>
          </w:tblCellMar>
        </w:tblPrEx>
        <w:trPr>
          <w:trHeight w:val="314"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ascii="宋体" w:hAnsi="宋体" w:cs="宋体"/>
                <w:color w:val="000000"/>
                <w:sz w:val="24"/>
                <w:szCs w:val="24"/>
                <w:lang w:bidi="ar"/>
              </w:rPr>
              <w:t>8</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配线</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1.管内穿照明、插座：2.5mm2。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366</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米</w:t>
            </w:r>
          </w:p>
        </w:tc>
      </w:tr>
      <w:tr>
        <w:tblPrEx>
          <w:tblCellMar>
            <w:top w:w="0" w:type="dxa"/>
            <w:left w:w="108" w:type="dxa"/>
            <w:bottom w:w="0" w:type="dxa"/>
            <w:right w:w="108" w:type="dxa"/>
          </w:tblCellMar>
        </w:tblPrEx>
        <w:trPr>
          <w:trHeight w:val="323"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ascii="宋体" w:hAnsi="宋体" w:cs="宋体"/>
                <w:color w:val="000000"/>
                <w:sz w:val="24"/>
                <w:szCs w:val="24"/>
                <w:lang w:bidi="ar"/>
              </w:rPr>
              <w:t>9</w:t>
            </w:r>
          </w:p>
        </w:tc>
        <w:tc>
          <w:tcPr>
            <w:tcW w:w="1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开槽</w:t>
            </w:r>
          </w:p>
        </w:tc>
        <w:tc>
          <w:tcPr>
            <w:tcW w:w="5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4"/>
                <w:szCs w:val="24"/>
                <w:lang w:bidi="ar"/>
              </w:rPr>
            </w:pPr>
            <w:r>
              <w:rPr>
                <w:rFonts w:hint="eastAsia" w:ascii="宋体" w:hAnsi="宋体" w:cs="宋体"/>
                <w:color w:val="000000"/>
                <w:sz w:val="24"/>
                <w:szCs w:val="24"/>
                <w:lang w:bidi="ar"/>
              </w:rPr>
              <w:t>1.墙面开槽：5CM宽。</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米</w:t>
            </w:r>
          </w:p>
        </w:tc>
      </w:tr>
      <w:bookmarkEnd w:id="3"/>
    </w:tbl>
    <w:p>
      <w:pPr>
        <w:spacing w:line="360" w:lineRule="auto"/>
        <w:ind w:firstLine="420" w:firstLineChars="200"/>
        <w:rPr>
          <w:rFonts w:ascii="宋体" w:hAnsi="宋体" w:cs="宋体"/>
          <w:sz w:val="24"/>
          <w:szCs w:val="24"/>
        </w:rPr>
      </w:pPr>
      <w:r>
        <w:rPr>
          <w:rFonts w:hint="eastAsia"/>
          <w:b/>
          <w:bCs/>
        </w:rPr>
        <w:t>备注：其他未尽事宜在施工过程中以校方要求为准。因项目复杂性，投标商可根据自己的方案设计和产品选型，在保证主要功能要求的前提下，上述未列设备投标商需全部配套到位，且保证后期软硬件免费质保和升级服务。</w:t>
      </w:r>
      <w:r>
        <w:rPr>
          <w:rFonts w:hint="eastAsia" w:ascii="宋体" w:hAnsi="宋体" w:cs="宋体"/>
          <w:sz w:val="24"/>
          <w:szCs w:val="24"/>
          <w:lang w:val="zh-CN"/>
        </w:rPr>
        <w:t>标</w:t>
      </w:r>
      <w:r>
        <w:rPr>
          <w:rFonts w:hint="eastAsia" w:ascii="宋体" w:hAnsi="宋体" w:cs="宋体"/>
          <w:sz w:val="24"/>
          <w:szCs w:val="24"/>
        </w:rPr>
        <w:t>★</w:t>
      </w:r>
      <w:r>
        <w:rPr>
          <w:rFonts w:hint="eastAsia" w:ascii="宋体" w:hAnsi="宋体" w:cs="宋体"/>
          <w:sz w:val="24"/>
          <w:szCs w:val="24"/>
          <w:lang w:val="zh-CN"/>
        </w:rPr>
        <w:t>的指标必须满足，否则视为无效标。投标产品必须是全新、未使用过的原装合格正品，符合招标文件的要求，达到国家、行业规定的通用标准和强制标准，属于国家强制认证的产品的必须通过认证。</w:t>
      </w:r>
      <w:r>
        <w:rPr>
          <w:rFonts w:hint="eastAsia" w:ascii="宋体" w:hAnsi="宋体" w:cs="宋体"/>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文件时要求不够具体，投标人也须保证安装后就能正常工作。</w:t>
      </w:r>
    </w:p>
    <w:p>
      <w:pPr>
        <w:spacing w:line="360" w:lineRule="auto"/>
        <w:ind w:firstLine="480" w:firstLineChars="200"/>
        <w:outlineLvl w:val="1"/>
        <w:rPr>
          <w:b/>
          <w:bCs/>
          <w:sz w:val="24"/>
          <w:szCs w:val="24"/>
        </w:rPr>
      </w:pPr>
      <w:r>
        <w:rPr>
          <w:rFonts w:hint="eastAsia"/>
          <w:b/>
          <w:bCs/>
          <w:sz w:val="24"/>
          <w:szCs w:val="24"/>
        </w:rPr>
        <w:t>★三、售后服务</w:t>
      </w:r>
    </w:p>
    <w:p>
      <w:pPr>
        <w:pStyle w:val="2"/>
        <w:ind w:firstLine="477" w:firstLineChars="199"/>
        <w:rPr>
          <w:rFonts w:ascii="宋体" w:hAnsi="宋体" w:cs="宋体"/>
          <w:szCs w:val="24"/>
        </w:rPr>
      </w:pPr>
      <w:r>
        <w:rPr>
          <w:rFonts w:hint="eastAsia" w:ascii="宋体" w:hAnsi="宋体" w:cs="宋体"/>
          <w:szCs w:val="24"/>
        </w:rPr>
        <w:t>（1）从项目验收合格之日起，提供</w:t>
      </w:r>
      <w:r>
        <w:rPr>
          <w:rFonts w:ascii="宋体" w:hAnsi="宋体" w:cs="宋体"/>
          <w:szCs w:val="24"/>
          <w:lang w:val="en-US"/>
        </w:rPr>
        <w:t>3</w:t>
      </w:r>
      <w:r>
        <w:rPr>
          <w:rFonts w:hint="eastAsia" w:ascii="宋体" w:hAnsi="宋体" w:cs="宋体"/>
          <w:szCs w:val="24"/>
        </w:rPr>
        <w:t>年及以上免费整体质保期和售后服务（否则为无效投标）。在保修期内产品如有质量问题，卖方为买方提供免费维修维护及更换配件。</w:t>
      </w:r>
      <w:r>
        <w:rPr>
          <w:rFonts w:hint="eastAsia"/>
          <w:szCs w:val="24"/>
        </w:rPr>
        <w:t>投标人可根据自身实力提出更长的质保期，保修期自项目验收合格并投入使用之日起计算。</w:t>
      </w:r>
    </w:p>
    <w:p>
      <w:pPr>
        <w:spacing w:line="360" w:lineRule="auto"/>
        <w:ind w:firstLine="480" w:firstLineChars="200"/>
        <w:rPr>
          <w:rFonts w:ascii="宋体" w:hAnsi="宋体" w:cs="宋体"/>
          <w:sz w:val="24"/>
          <w:szCs w:val="24"/>
        </w:rPr>
      </w:pPr>
      <w:r>
        <w:rPr>
          <w:rFonts w:hint="eastAsia" w:ascii="宋体" w:hAnsi="宋体" w:cs="宋体"/>
          <w:sz w:val="24"/>
          <w:szCs w:val="24"/>
        </w:rPr>
        <w:t>（2）提供设备的安装、操作、配套软件操作培训，直至能够熟练掌握该设备的各项流程，质保期内产生的一切费用由中标方承担。</w:t>
      </w:r>
    </w:p>
    <w:p>
      <w:pPr>
        <w:spacing w:line="360" w:lineRule="auto"/>
        <w:ind w:firstLine="480" w:firstLineChars="200"/>
        <w:rPr>
          <w:rFonts w:ascii="宋体" w:hAnsi="宋体" w:cs="宋体"/>
          <w:sz w:val="24"/>
          <w:szCs w:val="24"/>
        </w:rPr>
      </w:pPr>
      <w:r>
        <w:rPr>
          <w:rFonts w:hint="eastAsia" w:ascii="宋体" w:hAnsi="宋体" w:cs="宋体"/>
          <w:sz w:val="24"/>
          <w:szCs w:val="24"/>
        </w:rPr>
        <w:t>（3）超过质保期的机器设备，终生维修，维修时</w:t>
      </w:r>
      <w:r>
        <w:rPr>
          <w:rFonts w:hint="eastAsia"/>
          <w:sz w:val="24"/>
          <w:szCs w:val="24"/>
        </w:rPr>
        <w:t>提供同种品牌规格型号的新部件，</w:t>
      </w:r>
      <w:r>
        <w:rPr>
          <w:rFonts w:hint="eastAsia" w:ascii="宋体" w:hAnsi="宋体" w:cs="宋体"/>
          <w:sz w:val="24"/>
          <w:szCs w:val="24"/>
        </w:rPr>
        <w:t>只收配件成本费，提供配件费用清单。</w:t>
      </w:r>
    </w:p>
    <w:p>
      <w:pPr>
        <w:spacing w:line="360" w:lineRule="auto"/>
        <w:ind w:firstLine="480" w:firstLineChars="200"/>
        <w:rPr>
          <w:rFonts w:ascii="宋体" w:hAnsi="宋体" w:cs="宋体"/>
          <w:sz w:val="24"/>
          <w:szCs w:val="24"/>
          <w:lang w:val="zh-CN"/>
        </w:rPr>
      </w:pPr>
      <w:r>
        <w:rPr>
          <w:rFonts w:hint="eastAsia" w:ascii="宋体" w:hAnsi="宋体" w:cs="宋体"/>
          <w:sz w:val="24"/>
          <w:szCs w:val="24"/>
        </w:rPr>
        <w:t>（4）</w:t>
      </w:r>
      <w:r>
        <w:rPr>
          <w:rFonts w:hint="eastAsia" w:ascii="宋体" w:hAnsi="宋体" w:cs="宋体"/>
          <w:sz w:val="24"/>
          <w:szCs w:val="24"/>
          <w:lang w:val="zh-CN"/>
        </w:rPr>
        <w:t>投标人承诺保修期内对设备提供7×24的技术支持和售后响应服务，设备质保期内发生故障，</w:t>
      </w:r>
      <w:r>
        <w:rPr>
          <w:rFonts w:hint="eastAsia" w:ascii="宋体" w:hAnsi="宋体" w:cs="宋体"/>
          <w:sz w:val="24"/>
          <w:szCs w:val="24"/>
        </w:rPr>
        <w:t>1小时内电话响应，</w:t>
      </w:r>
      <w:r>
        <w:rPr>
          <w:rFonts w:hint="eastAsia" w:ascii="宋体" w:hAnsi="宋体" w:cs="宋体"/>
          <w:sz w:val="24"/>
          <w:szCs w:val="24"/>
          <w:lang w:val="zh-CN"/>
        </w:rPr>
        <w:t>72小时内现场服务。</w:t>
      </w:r>
      <w:r>
        <w:rPr>
          <w:rFonts w:hint="eastAsia"/>
          <w:sz w:val="24"/>
          <w:szCs w:val="24"/>
        </w:rPr>
        <w:t>如设备故障当天仍无法排除故障，须提供不低于故障设备规格、型号、性能的备用设备替代故障设备，直至故障设备修复。</w:t>
      </w:r>
    </w:p>
    <w:p>
      <w:pPr>
        <w:spacing w:line="360" w:lineRule="auto"/>
        <w:ind w:firstLine="480" w:firstLineChars="200"/>
        <w:outlineLvl w:val="1"/>
        <w:rPr>
          <w:b/>
          <w:bCs/>
          <w:sz w:val="24"/>
          <w:szCs w:val="24"/>
        </w:rPr>
      </w:pPr>
      <w:r>
        <w:rPr>
          <w:rFonts w:hint="eastAsia"/>
          <w:b/>
          <w:bCs/>
          <w:sz w:val="24"/>
          <w:szCs w:val="24"/>
        </w:rPr>
        <w:t>★四、商务要求</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1.供货时间：合同签订后60日内供货安装调试到位。</w:t>
      </w:r>
    </w:p>
    <w:p>
      <w:pPr>
        <w:spacing w:line="360" w:lineRule="auto"/>
        <w:ind w:firstLine="480" w:firstLineChars="200"/>
        <w:rPr>
          <w:rFonts w:ascii="宋体" w:hAnsi="宋体" w:cs="宋体"/>
          <w:sz w:val="24"/>
          <w:szCs w:val="24"/>
        </w:rPr>
      </w:pPr>
      <w:r>
        <w:rPr>
          <w:rFonts w:hint="eastAsia" w:ascii="宋体" w:hAnsi="宋体" w:cs="宋体"/>
          <w:sz w:val="24"/>
          <w:szCs w:val="24"/>
          <w:lang w:val="zh-CN"/>
        </w:rPr>
        <w:t>2.供货地点：</w:t>
      </w:r>
      <w:r>
        <w:rPr>
          <w:rFonts w:hint="eastAsia" w:ascii="宋体" w:hAnsi="宋体" w:cs="宋体"/>
          <w:sz w:val="24"/>
          <w:szCs w:val="24"/>
        </w:rPr>
        <w:t>淮阴工学院枚乘路校区正行楼四楼。</w:t>
      </w:r>
    </w:p>
    <w:p>
      <w:pPr>
        <w:spacing w:line="360" w:lineRule="auto"/>
        <w:ind w:firstLine="480" w:firstLineChars="200"/>
        <w:rPr>
          <w:rFonts w:ascii="宋体" w:hAnsi="宋体" w:cs="宋体"/>
          <w:kern w:val="2"/>
          <w:sz w:val="24"/>
          <w:szCs w:val="24"/>
          <w:lang w:val="zh-CN"/>
        </w:rPr>
      </w:pPr>
      <w:r>
        <w:rPr>
          <w:rFonts w:hint="eastAsia" w:ascii="宋体" w:hAnsi="宋体" w:cs="宋体"/>
          <w:kern w:val="2"/>
          <w:sz w:val="24"/>
          <w:szCs w:val="24"/>
          <w:lang w:val="zh-CN"/>
        </w:rPr>
        <w:t>3.付款方式:</w:t>
      </w:r>
    </w:p>
    <w:p>
      <w:pPr>
        <w:spacing w:line="360" w:lineRule="auto"/>
        <w:ind w:firstLine="480" w:firstLineChars="200"/>
        <w:outlineLvl w:val="1"/>
        <w:rPr>
          <w:sz w:val="24"/>
          <w:szCs w:val="24"/>
        </w:rPr>
      </w:pPr>
      <w:r>
        <w:rPr>
          <w:rFonts w:hint="eastAsia"/>
          <w:sz w:val="24"/>
          <w:lang w:val="zh-CN"/>
        </w:rPr>
        <w:t>合同期内货到采购人安装、调试完毕，验收合格后，付到合同款的</w:t>
      </w:r>
      <w:r>
        <w:rPr>
          <w:sz w:val="24"/>
          <w:lang w:val="zh-CN"/>
        </w:rPr>
        <w:t>95%</w:t>
      </w:r>
      <w:r>
        <w:rPr>
          <w:rFonts w:hint="eastAsia"/>
          <w:sz w:val="24"/>
          <w:lang w:val="zh-CN"/>
        </w:rPr>
        <w:t>；余下</w:t>
      </w:r>
      <w:r>
        <w:rPr>
          <w:sz w:val="24"/>
          <w:lang w:val="zh-CN"/>
        </w:rPr>
        <w:t>5%</w:t>
      </w:r>
      <w:r>
        <w:rPr>
          <w:rFonts w:hint="eastAsia"/>
          <w:sz w:val="24"/>
          <w:lang w:val="zh-CN"/>
        </w:rPr>
        <w:t>合同款待一年后使用无质量及售后服务等问题后结清余款（不计息）；如有质量问题，不能及时更换或不能及时维保到位，尾款不予支付</w:t>
      </w:r>
      <w:r>
        <w:rPr>
          <w:rFonts w:hint="eastAsia"/>
          <w:sz w:val="24"/>
        </w:rPr>
        <w:t>并按合同追究赔偿等责任</w:t>
      </w:r>
      <w:r>
        <w:rPr>
          <w:rFonts w:hint="eastAsia"/>
          <w:sz w:val="24"/>
          <w:lang w:val="zh-CN"/>
        </w:rPr>
        <w:t>。如验收不合格以及发现伪劣产品等，采购人将视其情况，采取退货、拒付货款、索赔等措施，直至向质量技术监督主管部门报告，依法处理。</w:t>
      </w:r>
      <w:r>
        <w:rPr>
          <w:rFonts w:hint="eastAsia"/>
          <w:sz w:val="24"/>
          <w:szCs w:val="24"/>
        </w:rPr>
        <w:t>具体付款方式可以在签订合同时由双方协商。</w:t>
      </w:r>
    </w:p>
    <w:p>
      <w:pPr>
        <w:spacing w:line="360" w:lineRule="auto"/>
        <w:ind w:firstLine="480" w:firstLineChars="200"/>
        <w:outlineLvl w:val="1"/>
        <w:rPr>
          <w:b/>
          <w:bCs/>
          <w:sz w:val="24"/>
          <w:szCs w:val="24"/>
        </w:rPr>
      </w:pPr>
      <w:r>
        <w:rPr>
          <w:rFonts w:hint="eastAsia"/>
          <w:b/>
          <w:bCs/>
          <w:sz w:val="24"/>
          <w:szCs w:val="24"/>
        </w:rPr>
        <w:t>五、其他要求</w:t>
      </w:r>
    </w:p>
    <w:p>
      <w:pPr>
        <w:pBdr>
          <w:top w:val="none" w:color="000000" w:sz="0" w:space="0"/>
          <w:left w:val="none" w:color="000000" w:sz="0" w:space="0"/>
          <w:bottom w:val="none" w:color="000000" w:sz="0" w:space="0"/>
          <w:right w:val="none" w:color="000000" w:sz="0" w:space="0"/>
        </w:pBdr>
        <w:spacing w:line="360" w:lineRule="auto"/>
        <w:ind w:firstLine="482"/>
        <w:rPr>
          <w:rFonts w:ascii="宋体" w:hAnsi="宋体" w:cs="宋体"/>
          <w:color w:val="000000"/>
          <w:sz w:val="24"/>
          <w:szCs w:val="24"/>
        </w:rPr>
      </w:pPr>
      <w:r>
        <w:rPr>
          <w:rFonts w:hint="eastAsia" w:ascii="宋体" w:hAnsi="宋体" w:cs="宋体"/>
          <w:sz w:val="24"/>
          <w:szCs w:val="24"/>
        </w:rPr>
        <w:t>★</w:t>
      </w:r>
      <w:r>
        <w:rPr>
          <w:rFonts w:hint="eastAsia" w:ascii="宋体" w:hAnsi="宋体" w:cs="宋体"/>
          <w:color w:val="000000"/>
          <w:sz w:val="24"/>
          <w:szCs w:val="24"/>
        </w:rPr>
        <w:t>1.在中标通知书出具后7个日历日内，提供招标文件所要求的技术参数证明文件，</w:t>
      </w:r>
      <w:r>
        <w:rPr>
          <w:rFonts w:hint="eastAsia" w:ascii="宋体" w:hAnsi="宋体" w:cs="宋体"/>
          <w:color w:val="000000"/>
          <w:sz w:val="24"/>
          <w:szCs w:val="24"/>
          <w:highlight w:val="none"/>
        </w:rPr>
        <w:t>加盖公章原件提交给采购人</w:t>
      </w:r>
      <w:r>
        <w:rPr>
          <w:rFonts w:hint="eastAsia" w:ascii="宋体" w:hAnsi="宋体" w:cs="宋体"/>
          <w:color w:val="000000"/>
          <w:sz w:val="24"/>
          <w:szCs w:val="24"/>
        </w:rPr>
        <w:t>，交由采购人确认，若中标人无法提供或提交虚假材料，一律视为虚假响应，按政府采购相关规定处理。</w:t>
      </w:r>
    </w:p>
    <w:p>
      <w:pPr>
        <w:pBdr>
          <w:top w:val="none" w:color="000000" w:sz="0" w:space="0"/>
          <w:left w:val="none" w:color="000000" w:sz="0" w:space="0"/>
          <w:bottom w:val="none" w:color="000000" w:sz="0" w:space="0"/>
          <w:right w:val="none" w:color="000000" w:sz="0" w:space="0"/>
        </w:pBdr>
        <w:spacing w:line="360" w:lineRule="auto"/>
        <w:ind w:firstLine="482"/>
        <w:rPr>
          <w:rFonts w:ascii="宋体" w:hAnsi="宋体" w:cs="宋体"/>
          <w:color w:val="000000"/>
          <w:sz w:val="24"/>
          <w:szCs w:val="24"/>
        </w:rPr>
      </w:pPr>
      <w:r>
        <w:rPr>
          <w:rFonts w:hint="eastAsia" w:ascii="宋体" w:hAnsi="宋体" w:cs="宋体"/>
          <w:sz w:val="24"/>
          <w:szCs w:val="24"/>
        </w:rPr>
        <w:t>★</w:t>
      </w:r>
      <w:r>
        <w:rPr>
          <w:rFonts w:hint="eastAsia" w:ascii="宋体" w:hAnsi="宋体" w:cs="宋体"/>
          <w:color w:val="000000"/>
          <w:sz w:val="24"/>
          <w:szCs w:val="24"/>
        </w:rPr>
        <w:t>2.投标人在投标文件中提供承诺函：承诺投标人在中标后，合同签订前，按采购人要求提供设备实物，按建设要求中的系统物理连接搭建实际运行环境，验证中标人响应的真实性，如虚假响应，按政府采购相关规定处理。</w:t>
      </w:r>
    </w:p>
    <w:p>
      <w:pPr>
        <w:pBdr>
          <w:top w:val="none" w:color="000000" w:sz="0" w:space="0"/>
          <w:left w:val="none" w:color="000000" w:sz="0" w:space="0"/>
          <w:bottom w:val="none" w:color="000000" w:sz="0" w:space="0"/>
          <w:right w:val="none" w:color="000000" w:sz="0" w:space="0"/>
        </w:pBdr>
        <w:spacing w:line="360" w:lineRule="auto"/>
        <w:ind w:firstLine="482"/>
        <w:rPr>
          <w:rFonts w:ascii="宋体" w:hAnsi="宋体" w:cs="宋体"/>
          <w:color w:val="000000"/>
          <w:sz w:val="24"/>
          <w:szCs w:val="24"/>
        </w:rPr>
      </w:pPr>
      <w:r>
        <w:rPr>
          <w:rFonts w:hint="eastAsia" w:ascii="宋体" w:hAnsi="宋体" w:cs="宋体"/>
          <w:sz w:val="24"/>
          <w:szCs w:val="24"/>
        </w:rPr>
        <w:t>★</w:t>
      </w:r>
      <w:r>
        <w:rPr>
          <w:rFonts w:hint="eastAsia" w:ascii="宋体" w:hAnsi="宋体" w:cs="宋体"/>
          <w:color w:val="000000"/>
          <w:sz w:val="24"/>
          <w:szCs w:val="24"/>
        </w:rPr>
        <w:t>3.本项目含工程施工内容，中标单位应具有承担施工的资质及能力，项目实施过程中应做好协调工作及承担安全责任，确保项目顺利实施。（提供承诺书原件）</w:t>
      </w:r>
    </w:p>
    <w:p>
      <w:pPr>
        <w:pBdr>
          <w:top w:val="none" w:color="000000" w:sz="0" w:space="0"/>
          <w:left w:val="none" w:color="000000" w:sz="0" w:space="0"/>
          <w:bottom w:val="none" w:color="000000" w:sz="0" w:space="0"/>
          <w:right w:val="none" w:color="000000" w:sz="0" w:space="0"/>
        </w:pBdr>
        <w:spacing w:line="360" w:lineRule="auto"/>
        <w:ind w:firstLine="482"/>
        <w:rPr>
          <w:rFonts w:ascii="宋体" w:hAnsi="宋体" w:cs="宋体"/>
          <w:sz w:val="24"/>
          <w:szCs w:val="24"/>
        </w:rPr>
      </w:pPr>
      <w:r>
        <w:rPr>
          <w:rFonts w:hint="eastAsia" w:ascii="宋体" w:hAnsi="宋体" w:cs="宋体"/>
          <w:color w:val="000000"/>
          <w:sz w:val="24"/>
          <w:szCs w:val="24"/>
        </w:rPr>
        <w:t>4.模拟建声声场建设要求。由于广播级录播教室要求较高，为了实现良好的教室扩声效果，要求投标人提供深化模拟建声声场建设方案，提供该教室模拟建声声场图（其中混响时间小于等于1秒，语言传输指数值大于等于0.62，声线分析声场环境无回声缺陷）。</w:t>
      </w:r>
    </w:p>
    <w:p>
      <w:pPr>
        <w:pBdr>
          <w:top w:val="none" w:color="000000" w:sz="0" w:space="0"/>
          <w:left w:val="none" w:color="000000" w:sz="0" w:space="0"/>
          <w:bottom w:val="none" w:color="000000" w:sz="0" w:space="0"/>
          <w:right w:val="none" w:color="000000" w:sz="0" w:space="0"/>
        </w:pBdr>
        <w:spacing w:line="360" w:lineRule="auto"/>
        <w:ind w:firstLine="482"/>
        <w:rPr>
          <w:rFonts w:ascii="宋体" w:hAnsi="宋体" w:cs="宋体"/>
          <w:sz w:val="24"/>
          <w:szCs w:val="24"/>
        </w:rPr>
      </w:pPr>
      <w:r>
        <w:rPr>
          <w:rFonts w:hint="eastAsia" w:ascii="宋体" w:hAnsi="宋体" w:cs="宋体"/>
          <w:color w:val="000000"/>
          <w:sz w:val="24"/>
          <w:szCs w:val="24"/>
        </w:rPr>
        <w:t>5.教室空间照明模拟建设要求。由于广播级录播教室要求较高，为了实现良好的教室照明效果，要求提供该教室空间照明模拟图（其中教室桌面维持平均照度不低于300LX，照度均匀度不低于0.7）。</w:t>
      </w:r>
    </w:p>
    <w:p>
      <w:pPr>
        <w:widowControl w:val="0"/>
        <w:spacing w:line="360" w:lineRule="auto"/>
        <w:ind w:firstLine="480" w:firstLineChars="200"/>
        <w:rPr>
          <w:rFonts w:ascii="宋体" w:hAnsi="宋体" w:cs="宋体"/>
          <w:kern w:val="2"/>
          <w:sz w:val="24"/>
          <w:szCs w:val="24"/>
        </w:rPr>
      </w:pPr>
    </w:p>
    <w:p>
      <w:pPr>
        <w:spacing w:line="300" w:lineRule="auto"/>
        <w:ind w:firstLine="480" w:firstLineChars="200"/>
        <w:jc w:val="center"/>
        <w:outlineLvl w:val="0"/>
        <w:rPr>
          <w:rFonts w:ascii="宋体" w:hAnsi="宋体" w:cs="宋体"/>
          <w:b/>
          <w:bCs/>
          <w:sz w:val="24"/>
          <w:szCs w:val="24"/>
        </w:rPr>
      </w:pPr>
      <w:r>
        <w:rPr>
          <w:rFonts w:hint="eastAsia" w:ascii="宋体" w:hAnsi="宋体" w:cs="宋体"/>
          <w:sz w:val="24"/>
          <w:szCs w:val="24"/>
        </w:rPr>
        <w:br w:type="page"/>
      </w:r>
      <w:bookmarkStart w:id="4" w:name="_Toc18289"/>
      <w:r>
        <w:rPr>
          <w:rFonts w:hint="eastAsia" w:ascii="宋体" w:hAnsi="宋体" w:cs="宋体"/>
          <w:b/>
          <w:bCs/>
          <w:sz w:val="24"/>
          <w:szCs w:val="24"/>
        </w:rPr>
        <w:t>第三章 合同主要条款</w:t>
      </w:r>
      <w:bookmarkEnd w:id="4"/>
    </w:p>
    <w:p>
      <w:pPr>
        <w:jc w:val="right"/>
        <w:rPr>
          <w:rFonts w:ascii="宋体" w:hAnsi="宋体" w:cs="宋体"/>
          <w:sz w:val="24"/>
          <w:szCs w:val="24"/>
        </w:rPr>
      </w:pPr>
    </w:p>
    <w:p>
      <w:pPr>
        <w:jc w:val="center"/>
        <w:rPr>
          <w:rFonts w:ascii="宋体" w:hAnsi="宋体" w:cs="宋体"/>
          <w:b/>
          <w:color w:val="000000" w:themeColor="text1"/>
          <w:sz w:val="48"/>
          <w14:textFill>
            <w14:solidFill>
              <w14:schemeClr w14:val="tx1"/>
            </w14:solidFill>
          </w14:textFill>
        </w:rPr>
      </w:pPr>
    </w:p>
    <w:p>
      <w:pPr>
        <w:pStyle w:val="2"/>
        <w:rPr>
          <w:lang w:val="en-US"/>
        </w:rPr>
      </w:pPr>
    </w:p>
    <w:p>
      <w:pPr>
        <w:pStyle w:val="2"/>
        <w:rPr>
          <w:lang w:val="en-US"/>
        </w:rPr>
      </w:pPr>
    </w:p>
    <w:p>
      <w:pPr>
        <w:jc w:val="center"/>
        <w:rPr>
          <w:rFonts w:ascii="宋体" w:hAnsi="宋体" w:cs="宋体"/>
          <w:b/>
          <w:color w:val="000000" w:themeColor="text1"/>
          <w:sz w:val="48"/>
          <w14:textFill>
            <w14:solidFill>
              <w14:schemeClr w14:val="tx1"/>
            </w14:solidFill>
          </w14:textFill>
        </w:rPr>
      </w:pPr>
    </w:p>
    <w:p>
      <w:pPr>
        <w:jc w:val="center"/>
        <w:rPr>
          <w:rFonts w:ascii="宋体" w:hAnsi="宋体" w:cs="宋体"/>
          <w:b/>
          <w:color w:val="000000" w:themeColor="text1"/>
          <w:sz w:val="48"/>
          <w14:textFill>
            <w14:solidFill>
              <w14:schemeClr w14:val="tx1"/>
            </w14:solidFill>
          </w14:textFill>
        </w:rPr>
      </w:pPr>
    </w:p>
    <w:p>
      <w:pPr>
        <w:jc w:val="center"/>
        <w:rPr>
          <w:rFonts w:ascii="宋体" w:hAnsi="宋体" w:cs="宋体"/>
          <w:b/>
          <w:color w:val="000000" w:themeColor="text1"/>
          <w:sz w:val="48"/>
          <w14:textFill>
            <w14:solidFill>
              <w14:schemeClr w14:val="tx1"/>
            </w14:solidFill>
          </w14:textFill>
        </w:rPr>
      </w:pPr>
      <w:r>
        <w:rPr>
          <w:rFonts w:hint="eastAsia" w:ascii="宋体" w:hAnsi="宋体" w:cs="宋体"/>
          <w:b/>
          <w:color w:val="000000" w:themeColor="text1"/>
          <w:sz w:val="48"/>
          <w14:textFill>
            <w14:solidFill>
              <w14:schemeClr w14:val="tx1"/>
            </w14:solidFill>
          </w14:textFill>
        </w:rPr>
        <w:t>中国光大银行股份有限公司淮安分行</w:t>
      </w:r>
    </w:p>
    <w:p>
      <w:pPr>
        <w:jc w:val="center"/>
        <w:rPr>
          <w:rFonts w:ascii="宋体" w:hAnsi="宋体" w:cs="宋体"/>
          <w:b/>
          <w:color w:val="000000" w:themeColor="text1"/>
          <w:sz w:val="48"/>
          <w14:textFill>
            <w14:solidFill>
              <w14:schemeClr w14:val="tx1"/>
            </w14:solidFill>
          </w14:textFill>
        </w:rPr>
      </w:pPr>
      <w:r>
        <w:rPr>
          <w:rFonts w:ascii="宋体" w:hAnsi="宋体" w:cs="宋体"/>
          <w:b/>
          <w:color w:val="000000" w:themeColor="text1"/>
          <w:sz w:val="48"/>
          <w14:textFill>
            <w14:solidFill>
              <w14:schemeClr w14:val="tx1"/>
            </w14:solidFill>
          </w14:textFill>
        </w:rPr>
        <w:t>XXXXXXXXXXXXXXXXXXX</w:t>
      </w:r>
    </w:p>
    <w:p>
      <w:pPr>
        <w:jc w:val="center"/>
        <w:rPr>
          <w:rFonts w:ascii="宋体" w:hAnsi="宋体" w:cs="宋体"/>
          <w:b/>
          <w:color w:val="000000" w:themeColor="text1"/>
          <w:sz w:val="48"/>
          <w14:textFill>
            <w14:solidFill>
              <w14:schemeClr w14:val="tx1"/>
            </w14:solidFill>
          </w14:textFill>
        </w:rPr>
      </w:pPr>
      <w:r>
        <w:rPr>
          <w:rFonts w:hint="eastAsia" w:ascii="宋体" w:hAnsi="宋体" w:cs="宋体"/>
          <w:b/>
          <w:color w:val="000000" w:themeColor="text1"/>
          <w:sz w:val="48"/>
          <w14:textFill>
            <w14:solidFill>
              <w14:schemeClr w14:val="tx1"/>
            </w14:solidFill>
          </w14:textFill>
        </w:rPr>
        <w:t>淮阴工学院</w:t>
      </w:r>
    </w:p>
    <w:p>
      <w:pPr>
        <w:jc w:val="center"/>
        <w:rPr>
          <w:rFonts w:ascii="宋体" w:hAnsi="宋体" w:cs="宋体"/>
          <w:b/>
          <w:color w:val="000000" w:themeColor="text1"/>
          <w:sz w:val="48"/>
          <w:szCs w:val="48"/>
          <w14:textFill>
            <w14:solidFill>
              <w14:schemeClr w14:val="tx1"/>
            </w14:solidFill>
          </w14:textFill>
        </w:rPr>
      </w:pPr>
    </w:p>
    <w:p>
      <w:pPr>
        <w:jc w:val="center"/>
        <w:rPr>
          <w:rFonts w:ascii="宋体" w:hAnsi="宋体" w:cs="宋体"/>
          <w:b/>
          <w:color w:val="000000" w:themeColor="text1"/>
          <w:sz w:val="48"/>
          <w:szCs w:val="48"/>
          <w14:textFill>
            <w14:solidFill>
              <w14:schemeClr w14:val="tx1"/>
            </w14:solidFill>
          </w14:textFill>
        </w:rPr>
      </w:pPr>
    </w:p>
    <w:p>
      <w:pPr>
        <w:jc w:val="center"/>
        <w:rPr>
          <w:rFonts w:ascii="宋体" w:hAnsi="宋体" w:cs="宋体"/>
          <w:b/>
          <w:color w:val="000000" w:themeColor="text1"/>
          <w:sz w:val="48"/>
          <w:szCs w:val="48"/>
          <w14:textFill>
            <w14:solidFill>
              <w14:schemeClr w14:val="tx1"/>
            </w14:solidFill>
          </w14:textFill>
        </w:rPr>
      </w:pPr>
    </w:p>
    <w:p>
      <w:pPr>
        <w:jc w:val="center"/>
        <w:rPr>
          <w:rFonts w:ascii="宋体" w:hAnsi="宋体" w:cs="宋体"/>
          <w:b/>
          <w:color w:val="000000" w:themeColor="text1"/>
          <w:sz w:val="48"/>
          <w:szCs w:val="48"/>
          <w14:textFill>
            <w14:solidFill>
              <w14:schemeClr w14:val="tx1"/>
            </w14:solidFill>
          </w14:textFill>
        </w:rPr>
      </w:pPr>
    </w:p>
    <w:p>
      <w:pPr>
        <w:jc w:val="center"/>
        <w:rPr>
          <w:rFonts w:ascii="宋体" w:hAnsi="宋体" w:cs="宋体"/>
          <w:b/>
          <w:color w:val="000000" w:themeColor="text1"/>
          <w:sz w:val="72"/>
          <w14:textFill>
            <w14:solidFill>
              <w14:schemeClr w14:val="tx1"/>
            </w14:solidFill>
          </w14:textFill>
        </w:rPr>
      </w:pPr>
      <w:r>
        <w:rPr>
          <w:rFonts w:hint="eastAsia" w:ascii="宋体" w:hAnsi="宋体" w:cs="宋体"/>
          <w:b/>
          <w:color w:val="000000" w:themeColor="text1"/>
          <w:sz w:val="72"/>
          <w14:textFill>
            <w14:solidFill>
              <w14:schemeClr w14:val="tx1"/>
            </w14:solidFill>
          </w14:textFill>
        </w:rPr>
        <w:t>广播级录播教室建设项目</w:t>
      </w:r>
    </w:p>
    <w:p>
      <w:pPr>
        <w:jc w:val="center"/>
        <w:rPr>
          <w:rFonts w:ascii="宋体" w:hAnsi="宋体" w:cs="宋体"/>
          <w:b/>
          <w:color w:val="000000" w:themeColor="text1"/>
          <w:sz w:val="72"/>
          <w14:textFill>
            <w14:solidFill>
              <w14:schemeClr w14:val="tx1"/>
            </w14:solidFill>
          </w14:textFill>
        </w:rPr>
      </w:pPr>
      <w:r>
        <w:rPr>
          <w:rFonts w:hint="eastAsia" w:ascii="宋体" w:hAnsi="宋体" w:cs="宋体"/>
          <w:b/>
          <w:color w:val="000000" w:themeColor="text1"/>
          <w:sz w:val="72"/>
          <w14:textFill>
            <w14:solidFill>
              <w14:schemeClr w14:val="tx1"/>
            </w14:solidFill>
          </w14:textFill>
        </w:rPr>
        <w:t>购置合同</w:t>
      </w:r>
    </w:p>
    <w:p>
      <w:pPr>
        <w:snapToGrid w:val="0"/>
        <w:spacing w:line="300" w:lineRule="auto"/>
        <w:ind w:right="284"/>
        <w:rPr>
          <w:rFonts w:ascii="宋体" w:hAnsi="宋体" w:cs="宋体"/>
          <w:b/>
          <w:color w:val="000000" w:themeColor="text1"/>
          <w:sz w:val="24"/>
          <w14:textFill>
            <w14:solidFill>
              <w14:schemeClr w14:val="tx1"/>
            </w14:solidFill>
          </w14:textFill>
        </w:rPr>
      </w:pPr>
    </w:p>
    <w:p>
      <w:pPr>
        <w:snapToGrid w:val="0"/>
        <w:spacing w:line="300" w:lineRule="auto"/>
        <w:ind w:right="284"/>
        <w:rPr>
          <w:rFonts w:ascii="宋体" w:hAnsi="宋体" w:cs="宋体"/>
          <w:b/>
          <w:color w:val="000000" w:themeColor="text1"/>
          <w:sz w:val="24"/>
          <w14:textFill>
            <w14:solidFill>
              <w14:schemeClr w14:val="tx1"/>
            </w14:solidFill>
          </w14:textFill>
        </w:rPr>
      </w:pPr>
    </w:p>
    <w:p>
      <w:pPr>
        <w:snapToGrid w:val="0"/>
        <w:spacing w:line="300" w:lineRule="auto"/>
        <w:ind w:right="284"/>
        <w:rPr>
          <w:rFonts w:ascii="宋体" w:hAnsi="宋体" w:cs="宋体"/>
          <w:b/>
          <w:color w:val="000000" w:themeColor="text1"/>
          <w:sz w:val="24"/>
          <w14:textFill>
            <w14:solidFill>
              <w14:schemeClr w14:val="tx1"/>
            </w14:solidFill>
          </w14:textFill>
        </w:rPr>
      </w:pPr>
    </w:p>
    <w:p>
      <w:pPr>
        <w:snapToGrid w:val="0"/>
        <w:spacing w:line="300" w:lineRule="auto"/>
        <w:ind w:right="284"/>
        <w:rPr>
          <w:rFonts w:ascii="宋体" w:hAnsi="宋体" w:cs="宋体"/>
          <w:color w:val="000000" w:themeColor="text1"/>
          <w:sz w:val="24"/>
          <w14:textFill>
            <w14:solidFill>
              <w14:schemeClr w14:val="tx1"/>
            </w14:solidFill>
          </w14:textFill>
        </w:rPr>
      </w:pPr>
    </w:p>
    <w:p>
      <w:pPr>
        <w:snapToGrid w:val="0"/>
        <w:spacing w:line="300" w:lineRule="auto"/>
        <w:ind w:right="284"/>
        <w:rPr>
          <w:rFonts w:ascii="宋体" w:hAnsi="宋体" w:cs="宋体"/>
          <w:color w:val="000000" w:themeColor="text1"/>
          <w:sz w:val="24"/>
          <w14:textFill>
            <w14:solidFill>
              <w14:schemeClr w14:val="tx1"/>
            </w14:solidFill>
          </w14:textFill>
        </w:rPr>
      </w:pPr>
    </w:p>
    <w:p>
      <w:pPr>
        <w:snapToGrid w:val="0"/>
        <w:spacing w:line="300" w:lineRule="auto"/>
        <w:ind w:right="284"/>
        <w:rPr>
          <w:rFonts w:ascii="宋体" w:hAnsi="宋体" w:cs="宋体"/>
          <w:color w:val="000000" w:themeColor="text1"/>
          <w:sz w:val="24"/>
          <w14:textFill>
            <w14:solidFill>
              <w14:schemeClr w14:val="tx1"/>
            </w14:solidFill>
          </w14:textFill>
        </w:rPr>
      </w:pPr>
    </w:p>
    <w:p>
      <w:pPr>
        <w:snapToGrid w:val="0"/>
        <w:spacing w:line="300" w:lineRule="auto"/>
        <w:ind w:right="284"/>
        <w:rPr>
          <w:rFonts w:ascii="宋体" w:hAnsi="宋体" w:cs="宋体"/>
          <w:color w:val="000000" w:themeColor="text1"/>
          <w:sz w:val="24"/>
          <w14:textFill>
            <w14:solidFill>
              <w14:schemeClr w14:val="tx1"/>
            </w14:solidFill>
          </w14:textFill>
        </w:rPr>
      </w:pPr>
    </w:p>
    <w:p>
      <w:pPr>
        <w:snapToGrid w:val="0"/>
        <w:spacing w:line="300" w:lineRule="auto"/>
        <w:ind w:right="284"/>
        <w:rPr>
          <w:rFonts w:ascii="宋体" w:hAnsi="宋体" w:cs="宋体"/>
          <w:color w:val="000000" w:themeColor="text1"/>
          <w:sz w:val="24"/>
          <w14:textFill>
            <w14:solidFill>
              <w14:schemeClr w14:val="tx1"/>
            </w14:solidFill>
          </w14:textFill>
        </w:rPr>
      </w:pPr>
    </w:p>
    <w:p>
      <w:pPr>
        <w:snapToGrid w:val="0"/>
        <w:spacing w:line="300" w:lineRule="auto"/>
        <w:ind w:right="284"/>
        <w:rPr>
          <w:rFonts w:ascii="宋体" w:hAnsi="宋体" w:cs="宋体"/>
          <w:color w:val="000000" w:themeColor="text1"/>
          <w:sz w:val="24"/>
          <w14:textFill>
            <w14:solidFill>
              <w14:schemeClr w14:val="tx1"/>
            </w14:solidFill>
          </w14:textFill>
        </w:rPr>
      </w:pPr>
    </w:p>
    <w:p>
      <w:pPr>
        <w:snapToGrid w:val="0"/>
        <w:spacing w:line="300" w:lineRule="auto"/>
        <w:ind w:right="284"/>
        <w:rPr>
          <w:rFonts w:ascii="宋体" w:hAnsi="宋体" w:cs="宋体"/>
          <w:color w:val="000000" w:themeColor="text1"/>
          <w:sz w:val="24"/>
          <w14:textFill>
            <w14:solidFill>
              <w14:schemeClr w14:val="tx1"/>
            </w14:solidFill>
          </w14:textFill>
        </w:rPr>
      </w:pPr>
    </w:p>
    <w:p>
      <w:pPr>
        <w:snapToGrid w:val="0"/>
        <w:spacing w:line="300" w:lineRule="auto"/>
        <w:ind w:right="284"/>
        <w:rPr>
          <w:rFonts w:ascii="宋体" w:hAnsi="宋体" w:cs="宋体"/>
          <w:color w:val="000000" w:themeColor="text1"/>
          <w:sz w:val="24"/>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adjustRightInd w:val="0"/>
        <w:snapToGrid w:val="0"/>
        <w:spacing w:line="480" w:lineRule="auto"/>
        <w:rPr>
          <w:rFonts w:ascii="宋体" w:hAnsi="宋体" w:cs="宋体"/>
          <w:snapToGrid w:val="0"/>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甲方：</w:t>
      </w:r>
      <w:r>
        <w:rPr>
          <w:rFonts w:hint="eastAsia" w:ascii="宋体" w:hAnsi="宋体" w:cs="宋体"/>
          <w:color w:val="000000" w:themeColor="text1"/>
          <w:sz w:val="24"/>
          <w14:textFill>
            <w14:solidFill>
              <w14:schemeClr w14:val="tx1"/>
            </w14:solidFill>
          </w14:textFill>
        </w:rPr>
        <w:t>中国光大银行股份有限公司淮安分行</w:t>
      </w:r>
    </w:p>
    <w:p>
      <w:pPr>
        <w:adjustRightInd w:val="0"/>
        <w:snapToGrid w:val="0"/>
        <w:spacing w:line="480" w:lineRule="auto"/>
        <w:rPr>
          <w:rFonts w:ascii="宋体" w:hAnsi="宋体" w:cs="宋体"/>
          <w:snapToGrid w:val="0"/>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住所：淮安市金融中心B4号楼裙楼一层北侧  　　邮政编码：223001</w:t>
      </w:r>
    </w:p>
    <w:p>
      <w:pPr>
        <w:adjustRightInd w:val="0"/>
        <w:snapToGrid w:val="0"/>
        <w:spacing w:line="480" w:lineRule="auto"/>
        <w:rPr>
          <w:rFonts w:ascii="宋体" w:hAnsi="宋体" w:cs="宋体"/>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法定代表人：杨洪才</w:t>
      </w:r>
    </w:p>
    <w:p>
      <w:pPr>
        <w:adjustRightInd w:val="0"/>
        <w:snapToGrid w:val="0"/>
        <w:spacing w:line="480" w:lineRule="auto"/>
        <w:rPr>
          <w:rFonts w:ascii="宋体" w:hAnsi="宋体" w:cs="宋体"/>
          <w:snapToGrid w:val="0"/>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传真：</w:t>
      </w:r>
      <w:r>
        <w:rPr>
          <w:rFonts w:hint="eastAsia" w:ascii="宋体" w:hAnsi="宋体" w:cs="宋体"/>
          <w:color w:val="000000" w:themeColor="text1"/>
          <w:sz w:val="24"/>
          <w14:textFill>
            <w14:solidFill>
              <w14:schemeClr w14:val="tx1"/>
            </w14:solidFill>
          </w14:textFill>
        </w:rPr>
        <w:t>　</w:t>
      </w:r>
      <w:r>
        <w:rPr>
          <w:rFonts w:hint="eastAsia" w:ascii="宋体" w:hAnsi="宋体" w:cs="宋体"/>
          <w:snapToGrid w:val="0"/>
          <w:color w:val="000000" w:themeColor="text1"/>
          <w:sz w:val="24"/>
          <w14:textFill>
            <w14:solidFill>
              <w14:schemeClr w14:val="tx1"/>
            </w14:solidFill>
          </w14:textFill>
        </w:rPr>
        <w:t>　　　　　　　         电话：0517-89899521</w:t>
      </w:r>
    </w:p>
    <w:p>
      <w:pPr>
        <w:pStyle w:val="2"/>
        <w:rPr>
          <w:rFonts w:ascii="宋体" w:hAnsi="宋体" w:cs="宋体"/>
          <w:color w:val="000000" w:themeColor="text1"/>
          <w14:textFill>
            <w14:solidFill>
              <w14:schemeClr w14:val="tx1"/>
            </w14:solidFill>
          </w14:textFill>
        </w:rPr>
      </w:pPr>
    </w:p>
    <w:p>
      <w:pPr>
        <w:snapToGrid w:val="0"/>
        <w:spacing w:line="480" w:lineRule="auto"/>
        <w:ind w:right="17"/>
        <w:rPr>
          <w:rFonts w:ascii="宋体" w:hAnsi="宋体" w:cs="宋体"/>
          <w:snapToGrid w:val="0"/>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乙方：</w:t>
      </w:r>
      <w:r>
        <w:rPr>
          <w:rFonts w:ascii="宋体" w:hAnsi="宋体" w:cs="宋体"/>
          <w:snapToGrid w:val="0"/>
          <w:color w:val="000000" w:themeColor="text1"/>
          <w:sz w:val="24"/>
          <w14:textFill>
            <w14:solidFill>
              <w14:schemeClr w14:val="tx1"/>
            </w14:solidFill>
          </w14:textFill>
        </w:rPr>
        <w:t xml:space="preserve"> </w:t>
      </w:r>
    </w:p>
    <w:p>
      <w:pPr>
        <w:snapToGrid w:val="0"/>
        <w:spacing w:line="480" w:lineRule="auto"/>
        <w:ind w:right="17"/>
        <w:rPr>
          <w:rFonts w:ascii="宋体" w:hAnsi="宋体" w:cs="宋体"/>
          <w:snapToGrid w:val="0"/>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住所：</w:t>
      </w:r>
      <w:r>
        <w:rPr>
          <w:rFonts w:ascii="宋体" w:hAnsi="宋体" w:cs="宋体"/>
          <w:snapToGrid w:val="0"/>
          <w:color w:val="000000" w:themeColor="text1"/>
          <w:sz w:val="24"/>
          <w14:textFill>
            <w14:solidFill>
              <w14:schemeClr w14:val="tx1"/>
            </w14:solidFill>
          </w14:textFill>
        </w:rPr>
        <w:t xml:space="preserve"> </w:t>
      </w:r>
    </w:p>
    <w:p>
      <w:pPr>
        <w:snapToGrid w:val="0"/>
        <w:spacing w:line="480" w:lineRule="auto"/>
        <w:ind w:right="17"/>
        <w:rPr>
          <w:rFonts w:ascii="宋体" w:hAnsi="宋体" w:cs="宋体"/>
          <w:snapToGrid w:val="0"/>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法定代表人（负责人）：</w:t>
      </w:r>
      <w:r>
        <w:rPr>
          <w:rFonts w:ascii="宋体" w:hAnsi="宋体" w:cs="宋体"/>
          <w:snapToGrid w:val="0"/>
          <w:color w:val="000000" w:themeColor="text1"/>
          <w:sz w:val="24"/>
          <w14:textFill>
            <w14:solidFill>
              <w14:schemeClr w14:val="tx1"/>
            </w14:solidFill>
          </w14:textFill>
        </w:rPr>
        <w:t xml:space="preserve"> </w:t>
      </w:r>
    </w:p>
    <w:p>
      <w:pPr>
        <w:snapToGrid w:val="0"/>
        <w:spacing w:line="480" w:lineRule="auto"/>
        <w:ind w:right="17"/>
        <w:rPr>
          <w:rFonts w:ascii="宋体" w:hAnsi="宋体" w:cs="宋体"/>
          <w:snapToGrid w:val="0"/>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 xml:space="preserve">传真：              电话： </w:t>
      </w:r>
    </w:p>
    <w:p>
      <w:pPr>
        <w:pStyle w:val="2"/>
        <w:rPr>
          <w:rFonts w:ascii="宋体" w:hAnsi="宋体" w:cs="宋体"/>
          <w:color w:val="000000" w:themeColor="text1"/>
          <w14:textFill>
            <w14:solidFill>
              <w14:schemeClr w14:val="tx1"/>
            </w14:solidFill>
          </w14:textFill>
        </w:rPr>
      </w:pPr>
    </w:p>
    <w:p>
      <w:pPr>
        <w:snapToGrid w:val="0"/>
        <w:spacing w:line="480" w:lineRule="auto"/>
        <w:ind w:right="1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丙方：淮阴工学院</w:t>
      </w:r>
    </w:p>
    <w:p>
      <w:pPr>
        <w:adjustRightInd w:val="0"/>
        <w:snapToGrid w:val="0"/>
        <w:spacing w:line="480" w:lineRule="auto"/>
        <w:rPr>
          <w:rFonts w:ascii="宋体" w:hAnsi="宋体" w:cs="宋体"/>
          <w:color w:val="000000" w:themeColor="text1"/>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住所：江苏省淮安市枚乘东路1号  邮政编码：223003</w:t>
      </w:r>
    </w:p>
    <w:p>
      <w:pPr>
        <w:adjustRightInd w:val="0"/>
        <w:snapToGrid w:val="0"/>
        <w:spacing w:line="480" w:lineRule="auto"/>
        <w:rPr>
          <w:rFonts w:ascii="宋体" w:hAnsi="宋体" w:cs="宋体"/>
          <w:snapToGrid w:val="0"/>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法定代表人：</w:t>
      </w:r>
      <w:r>
        <w:rPr>
          <w:rFonts w:ascii="宋体" w:hAnsi="宋体" w:cs="宋体"/>
          <w:snapToGrid w:val="0"/>
          <w:color w:val="000000" w:themeColor="text1"/>
          <w:sz w:val="24"/>
          <w14:textFill>
            <w14:solidFill>
              <w14:schemeClr w14:val="tx1"/>
            </w14:solidFill>
          </w14:textFill>
        </w:rPr>
        <w:t xml:space="preserve"> </w:t>
      </w:r>
    </w:p>
    <w:p>
      <w:pPr>
        <w:adjustRightInd w:val="0"/>
        <w:snapToGrid w:val="0"/>
        <w:spacing w:line="480" w:lineRule="auto"/>
        <w:rPr>
          <w:rFonts w:ascii="宋体" w:hAnsi="宋体" w:cs="宋体"/>
          <w:snapToGrid w:val="0"/>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传真：             电话：</w:t>
      </w:r>
    </w:p>
    <w:p>
      <w:pPr>
        <w:snapToGrid w:val="0"/>
        <w:spacing w:line="480" w:lineRule="auto"/>
        <w:ind w:right="17"/>
        <w:rPr>
          <w:rFonts w:ascii="宋体" w:hAnsi="宋体" w:cs="宋体"/>
          <w:color w:val="000000" w:themeColor="text1"/>
          <w:sz w:val="24"/>
          <w14:textFill>
            <w14:solidFill>
              <w14:schemeClr w14:val="tx1"/>
            </w14:solidFill>
          </w14:textFill>
        </w:rPr>
      </w:pPr>
    </w:p>
    <w:p>
      <w:pPr>
        <w:snapToGrid w:val="0"/>
        <w:spacing w:line="300" w:lineRule="auto"/>
        <w:ind w:right="17"/>
        <w:rPr>
          <w:rFonts w:ascii="宋体" w:hAnsi="宋体" w:cs="宋体"/>
          <w:color w:val="000000" w:themeColor="text1"/>
          <w:sz w:val="24"/>
          <w14:textFill>
            <w14:solidFill>
              <w14:schemeClr w14:val="tx1"/>
            </w14:solidFill>
          </w14:textFill>
        </w:rPr>
      </w:pPr>
    </w:p>
    <w:p>
      <w:pPr>
        <w:snapToGrid w:val="0"/>
        <w:spacing w:line="360" w:lineRule="auto"/>
        <w:ind w:right="17"/>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r>
        <w:rPr>
          <w:rFonts w:hint="eastAsia" w:ascii="宋体" w:hAnsi="宋体" w:cs="宋体"/>
          <w:color w:val="000000" w:themeColor="text1"/>
          <w:sz w:val="24"/>
          <w14:textFill>
            <w14:solidFill>
              <w14:schemeClr w14:val="tx1"/>
            </w14:solidFill>
          </w14:textFill>
        </w:rPr>
        <w:t>根据中华人民共和国有关法律、法规，经甲、乙、丙三方协商一致，就甲方向乙方购置</w:t>
      </w:r>
      <w:r>
        <w:rPr>
          <w:rFonts w:hint="eastAsia" w:ascii="宋体" w:hAnsi="宋体" w:cs="宋体"/>
          <w:color w:val="000000" w:themeColor="text1"/>
          <w:sz w:val="24"/>
          <w:szCs w:val="24"/>
          <w:u w:val="single"/>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事宜，三方达成协议如下：</w:t>
      </w:r>
    </w:p>
    <w:p>
      <w:pPr>
        <w:spacing w:before="24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第一条 买卖标的</w:t>
      </w:r>
    </w:p>
    <w:p>
      <w:pPr>
        <w:pStyle w:val="2"/>
        <w:rPr>
          <w:rFonts w:ascii="宋体" w:hAnsi="宋体" w:cs="宋体"/>
          <w:color w:val="000000" w:themeColor="text1"/>
          <w14:textFill>
            <w14:solidFill>
              <w14:schemeClr w14:val="tx1"/>
            </w14:solidFill>
          </w14:textFill>
        </w:rPr>
      </w:pP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乙方按甲方要求，为甲方提供的</w:t>
      </w:r>
      <w:r>
        <w:rPr>
          <w:rFonts w:hint="eastAsia" w:ascii="宋体" w:hAnsi="宋体" w:cs="宋体"/>
          <w:bCs/>
          <w:color w:val="000000" w:themeColor="text1"/>
          <w:sz w:val="24"/>
          <w:szCs w:val="24"/>
          <w:u w:val="single"/>
          <w14:textFill>
            <w14:solidFill>
              <w14:schemeClr w14:val="tx1"/>
            </w14:solidFill>
          </w14:textFill>
        </w:rPr>
        <w:t xml:space="preserve"> </w:t>
      </w:r>
      <w:r>
        <w:rPr>
          <w:rFonts w:ascii="宋体" w:hAnsi="宋体" w:cs="宋体"/>
          <w:bCs/>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具体内容见下表（单位：元）：</w:t>
      </w:r>
    </w:p>
    <w:p>
      <w:pPr>
        <w:spacing w:line="400" w:lineRule="exact"/>
        <w:ind w:left="2040" w:hanging="2040" w:hangingChars="85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招标项目编号： </w:t>
      </w:r>
    </w:p>
    <w:p>
      <w:pPr>
        <w:spacing w:line="400" w:lineRule="exact"/>
        <w:rPr>
          <w:b/>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所购设备具体厂家、型号、</w:t>
      </w:r>
      <w:r>
        <w:rPr>
          <w:rFonts w:hint="eastAsia"/>
          <w:color w:val="000000" w:themeColor="text1"/>
          <w:sz w:val="24"/>
          <w:szCs w:val="24"/>
          <w14:textFill>
            <w14:solidFill>
              <w14:schemeClr w14:val="tx1"/>
            </w14:solidFill>
          </w14:textFill>
        </w:rPr>
        <w:t>具体配置</w:t>
      </w:r>
      <w:r>
        <w:rPr>
          <w:color w:val="000000" w:themeColor="text1"/>
          <w:sz w:val="24"/>
          <w:szCs w:val="24"/>
          <w14:textFill>
            <w14:solidFill>
              <w14:schemeClr w14:val="tx1"/>
            </w14:solidFill>
          </w14:textFill>
        </w:rPr>
        <w:t>：</w:t>
      </w:r>
      <w:r>
        <w:rPr>
          <w:b/>
          <w:bCs/>
          <w:color w:val="000000" w:themeColor="text1"/>
          <w:sz w:val="24"/>
          <w:szCs w:val="24"/>
          <w14:textFill>
            <w14:solidFill>
              <w14:schemeClr w14:val="tx1"/>
            </w14:solidFill>
          </w14:textFill>
        </w:rPr>
        <w:t xml:space="preserve">      </w:t>
      </w:r>
    </w:p>
    <w:tbl>
      <w:tblPr>
        <w:tblStyle w:val="20"/>
        <w:tblpPr w:leftFromText="180" w:rightFromText="180" w:vertAnchor="text" w:horzAnchor="page" w:tblpX="1353" w:tblpY="282"/>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538"/>
        <w:gridCol w:w="1134"/>
        <w:gridCol w:w="1701"/>
        <w:gridCol w:w="1507"/>
        <w:gridCol w:w="738"/>
        <w:gridCol w:w="706"/>
        <w:gridCol w:w="111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55" w:type="dxa"/>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序号</w:t>
            </w:r>
          </w:p>
        </w:tc>
        <w:tc>
          <w:tcPr>
            <w:tcW w:w="1538" w:type="dxa"/>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货物名称</w:t>
            </w:r>
          </w:p>
        </w:tc>
        <w:tc>
          <w:tcPr>
            <w:tcW w:w="1134" w:type="dxa"/>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品牌</w:t>
            </w:r>
          </w:p>
        </w:tc>
        <w:tc>
          <w:tcPr>
            <w:tcW w:w="1701" w:type="dxa"/>
            <w:vAlign w:val="center"/>
          </w:tcPr>
          <w:p>
            <w:pPr>
              <w:spacing w:line="40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规格、型号</w:t>
            </w:r>
          </w:p>
        </w:tc>
        <w:tc>
          <w:tcPr>
            <w:tcW w:w="1507" w:type="dxa"/>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生产厂家</w:t>
            </w:r>
          </w:p>
        </w:tc>
        <w:tc>
          <w:tcPr>
            <w:tcW w:w="738" w:type="dxa"/>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单位</w:t>
            </w:r>
          </w:p>
        </w:tc>
        <w:tc>
          <w:tcPr>
            <w:tcW w:w="706" w:type="dxa"/>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数量</w:t>
            </w:r>
          </w:p>
        </w:tc>
        <w:tc>
          <w:tcPr>
            <w:tcW w:w="1116" w:type="dxa"/>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单价（元）</w:t>
            </w:r>
          </w:p>
        </w:tc>
        <w:tc>
          <w:tcPr>
            <w:tcW w:w="1178" w:type="dxa"/>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55" w:type="dxa"/>
            <w:tcBorders>
              <w:left w:val="single" w:color="auto" w:sz="4" w:space="0"/>
              <w:bottom w:val="single" w:color="auto" w:sz="4" w:space="0"/>
              <w:right w:val="single" w:color="auto" w:sz="4" w:space="0"/>
            </w:tcBorders>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p>
        </w:tc>
        <w:tc>
          <w:tcPr>
            <w:tcW w:w="153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134"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701"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507" w:type="dxa"/>
            <w:tcBorders>
              <w:left w:val="single" w:color="auto" w:sz="4" w:space="0"/>
              <w:bottom w:val="single" w:color="auto" w:sz="4" w:space="0"/>
              <w:right w:val="single" w:color="auto" w:sz="4" w:space="0"/>
            </w:tcBorders>
          </w:tcPr>
          <w:p>
            <w:pPr>
              <w:spacing w:line="360" w:lineRule="exact"/>
              <w:jc w:val="center"/>
              <w:rPr>
                <w:color w:val="000000" w:themeColor="text1"/>
                <w:spacing w:val="8"/>
                <w:sz w:val="24"/>
                <w:szCs w:val="24"/>
                <w14:textFill>
                  <w14:solidFill>
                    <w14:schemeClr w14:val="tx1"/>
                  </w14:solidFill>
                </w14:textFill>
              </w:rPr>
            </w:pPr>
          </w:p>
        </w:tc>
        <w:tc>
          <w:tcPr>
            <w:tcW w:w="73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706"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16"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7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55" w:type="dxa"/>
            <w:tcBorders>
              <w:left w:val="single" w:color="auto" w:sz="4" w:space="0"/>
              <w:bottom w:val="single" w:color="auto" w:sz="4" w:space="0"/>
              <w:right w:val="single" w:color="auto" w:sz="4" w:space="0"/>
            </w:tcBorders>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p>
        </w:tc>
        <w:tc>
          <w:tcPr>
            <w:tcW w:w="153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134"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701"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507" w:type="dxa"/>
            <w:tcBorders>
              <w:left w:val="single" w:color="auto" w:sz="4" w:space="0"/>
              <w:bottom w:val="single" w:color="auto" w:sz="4" w:space="0"/>
              <w:right w:val="single" w:color="auto" w:sz="4" w:space="0"/>
            </w:tcBorders>
          </w:tcPr>
          <w:p>
            <w:pPr>
              <w:spacing w:line="360" w:lineRule="exact"/>
              <w:jc w:val="center"/>
              <w:rPr>
                <w:color w:val="000000" w:themeColor="text1"/>
                <w:spacing w:val="8"/>
                <w:sz w:val="24"/>
                <w:szCs w:val="24"/>
                <w14:textFill>
                  <w14:solidFill>
                    <w14:schemeClr w14:val="tx1"/>
                  </w14:solidFill>
                </w14:textFill>
              </w:rPr>
            </w:pPr>
          </w:p>
        </w:tc>
        <w:tc>
          <w:tcPr>
            <w:tcW w:w="73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706"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16"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7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55" w:type="dxa"/>
            <w:tcBorders>
              <w:left w:val="single" w:color="auto" w:sz="4" w:space="0"/>
              <w:bottom w:val="single" w:color="auto" w:sz="4" w:space="0"/>
              <w:right w:val="single" w:color="auto" w:sz="4" w:space="0"/>
            </w:tcBorders>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p>
        </w:tc>
        <w:tc>
          <w:tcPr>
            <w:tcW w:w="153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134"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701"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507" w:type="dxa"/>
            <w:tcBorders>
              <w:left w:val="single" w:color="auto" w:sz="4" w:space="0"/>
              <w:bottom w:val="single" w:color="auto" w:sz="4" w:space="0"/>
              <w:right w:val="single" w:color="auto" w:sz="4" w:space="0"/>
            </w:tcBorders>
          </w:tcPr>
          <w:p>
            <w:pPr>
              <w:spacing w:line="360" w:lineRule="exact"/>
              <w:jc w:val="center"/>
              <w:rPr>
                <w:color w:val="000000" w:themeColor="text1"/>
                <w:spacing w:val="8"/>
                <w:sz w:val="24"/>
                <w:szCs w:val="24"/>
                <w14:textFill>
                  <w14:solidFill>
                    <w14:schemeClr w14:val="tx1"/>
                  </w14:solidFill>
                </w14:textFill>
              </w:rPr>
            </w:pPr>
          </w:p>
        </w:tc>
        <w:tc>
          <w:tcPr>
            <w:tcW w:w="73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706"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16"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7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55" w:type="dxa"/>
            <w:tcBorders>
              <w:left w:val="single" w:color="auto" w:sz="4" w:space="0"/>
              <w:bottom w:val="single" w:color="auto" w:sz="4" w:space="0"/>
              <w:right w:val="single" w:color="auto" w:sz="4" w:space="0"/>
            </w:tcBorders>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p>
        </w:tc>
        <w:tc>
          <w:tcPr>
            <w:tcW w:w="153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134"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701"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507" w:type="dxa"/>
            <w:tcBorders>
              <w:left w:val="single" w:color="auto" w:sz="4" w:space="0"/>
              <w:bottom w:val="single" w:color="auto" w:sz="4" w:space="0"/>
              <w:right w:val="single" w:color="auto" w:sz="4" w:space="0"/>
            </w:tcBorders>
          </w:tcPr>
          <w:p>
            <w:pPr>
              <w:spacing w:line="360" w:lineRule="exact"/>
              <w:jc w:val="center"/>
              <w:rPr>
                <w:color w:val="000000" w:themeColor="text1"/>
                <w:spacing w:val="8"/>
                <w:sz w:val="24"/>
                <w:szCs w:val="24"/>
                <w14:textFill>
                  <w14:solidFill>
                    <w14:schemeClr w14:val="tx1"/>
                  </w14:solidFill>
                </w14:textFill>
              </w:rPr>
            </w:pPr>
          </w:p>
        </w:tc>
        <w:tc>
          <w:tcPr>
            <w:tcW w:w="73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706"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16"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7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55" w:type="dxa"/>
            <w:tcBorders>
              <w:left w:val="single" w:color="auto" w:sz="4" w:space="0"/>
              <w:bottom w:val="single" w:color="auto" w:sz="4" w:space="0"/>
              <w:right w:val="single" w:color="auto" w:sz="4" w:space="0"/>
            </w:tcBorders>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w:t>
            </w:r>
          </w:p>
        </w:tc>
        <w:tc>
          <w:tcPr>
            <w:tcW w:w="153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134"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701"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507" w:type="dxa"/>
            <w:tcBorders>
              <w:left w:val="single" w:color="auto" w:sz="4" w:space="0"/>
              <w:bottom w:val="single" w:color="auto" w:sz="4" w:space="0"/>
              <w:right w:val="single" w:color="auto" w:sz="4" w:space="0"/>
            </w:tcBorders>
          </w:tcPr>
          <w:p>
            <w:pPr>
              <w:spacing w:line="360" w:lineRule="exact"/>
              <w:jc w:val="center"/>
              <w:rPr>
                <w:color w:val="000000" w:themeColor="text1"/>
                <w:spacing w:val="8"/>
                <w:sz w:val="24"/>
                <w:szCs w:val="24"/>
                <w14:textFill>
                  <w14:solidFill>
                    <w14:schemeClr w14:val="tx1"/>
                  </w14:solidFill>
                </w14:textFill>
              </w:rPr>
            </w:pPr>
          </w:p>
        </w:tc>
        <w:tc>
          <w:tcPr>
            <w:tcW w:w="73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706"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16"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7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55" w:type="dxa"/>
            <w:tcBorders>
              <w:left w:val="single" w:color="auto" w:sz="4" w:space="0"/>
              <w:bottom w:val="single" w:color="auto" w:sz="4" w:space="0"/>
              <w:right w:val="single" w:color="auto" w:sz="4" w:space="0"/>
            </w:tcBorders>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w:t>
            </w:r>
          </w:p>
        </w:tc>
        <w:tc>
          <w:tcPr>
            <w:tcW w:w="153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134"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701"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507" w:type="dxa"/>
            <w:tcBorders>
              <w:left w:val="single" w:color="auto" w:sz="4" w:space="0"/>
              <w:bottom w:val="single" w:color="auto" w:sz="4" w:space="0"/>
              <w:right w:val="single" w:color="auto" w:sz="4" w:space="0"/>
            </w:tcBorders>
          </w:tcPr>
          <w:p>
            <w:pPr>
              <w:spacing w:line="360" w:lineRule="exact"/>
              <w:jc w:val="center"/>
              <w:rPr>
                <w:color w:val="000000" w:themeColor="text1"/>
                <w:spacing w:val="8"/>
                <w:sz w:val="24"/>
                <w:szCs w:val="24"/>
                <w14:textFill>
                  <w14:solidFill>
                    <w14:schemeClr w14:val="tx1"/>
                  </w14:solidFill>
                </w14:textFill>
              </w:rPr>
            </w:pPr>
          </w:p>
        </w:tc>
        <w:tc>
          <w:tcPr>
            <w:tcW w:w="73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706"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16"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7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555" w:type="dxa"/>
            <w:tcBorders>
              <w:left w:val="single" w:color="auto" w:sz="4" w:space="0"/>
              <w:right w:val="single" w:color="auto" w:sz="4" w:space="0"/>
            </w:tcBorders>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7</w:t>
            </w:r>
          </w:p>
        </w:tc>
        <w:tc>
          <w:tcPr>
            <w:tcW w:w="1538" w:type="dxa"/>
            <w:tcBorders>
              <w:left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134" w:type="dxa"/>
            <w:tcBorders>
              <w:left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701" w:type="dxa"/>
            <w:tcBorders>
              <w:left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507" w:type="dxa"/>
            <w:tcBorders>
              <w:left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738" w:type="dxa"/>
            <w:tcBorders>
              <w:left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706" w:type="dxa"/>
            <w:tcBorders>
              <w:left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16" w:type="dxa"/>
            <w:tcBorders>
              <w:left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78" w:type="dxa"/>
            <w:tcBorders>
              <w:left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55" w:type="dxa"/>
            <w:tcBorders>
              <w:left w:val="single" w:color="auto" w:sz="4" w:space="0"/>
              <w:bottom w:val="single" w:color="auto" w:sz="4" w:space="0"/>
              <w:right w:val="single" w:color="auto" w:sz="4" w:space="0"/>
            </w:tcBorders>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8</w:t>
            </w:r>
          </w:p>
        </w:tc>
        <w:tc>
          <w:tcPr>
            <w:tcW w:w="153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134"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701"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507" w:type="dxa"/>
            <w:tcBorders>
              <w:left w:val="single" w:color="auto" w:sz="4" w:space="0"/>
              <w:bottom w:val="single" w:color="auto" w:sz="4" w:space="0"/>
              <w:right w:val="single" w:color="auto" w:sz="4" w:space="0"/>
            </w:tcBorders>
          </w:tcPr>
          <w:p>
            <w:pPr>
              <w:spacing w:line="360" w:lineRule="exact"/>
              <w:jc w:val="center"/>
              <w:rPr>
                <w:color w:val="000000" w:themeColor="text1"/>
                <w:spacing w:val="8"/>
                <w:sz w:val="24"/>
                <w:szCs w:val="24"/>
                <w14:textFill>
                  <w14:solidFill>
                    <w14:schemeClr w14:val="tx1"/>
                  </w14:solidFill>
                </w14:textFill>
              </w:rPr>
            </w:pPr>
          </w:p>
        </w:tc>
        <w:tc>
          <w:tcPr>
            <w:tcW w:w="73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706"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16"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7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55" w:type="dxa"/>
            <w:tcBorders>
              <w:left w:val="single" w:color="auto" w:sz="4" w:space="0"/>
              <w:bottom w:val="single" w:color="auto" w:sz="4" w:space="0"/>
              <w:right w:val="single" w:color="auto" w:sz="4" w:space="0"/>
            </w:tcBorders>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9</w:t>
            </w:r>
          </w:p>
        </w:tc>
        <w:tc>
          <w:tcPr>
            <w:tcW w:w="153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134"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701"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z w:val="24"/>
                <w:szCs w:val="24"/>
                <w14:textFill>
                  <w14:solidFill>
                    <w14:schemeClr w14:val="tx1"/>
                  </w14:solidFill>
                </w14:textFill>
              </w:rPr>
            </w:pPr>
          </w:p>
        </w:tc>
        <w:tc>
          <w:tcPr>
            <w:tcW w:w="1507" w:type="dxa"/>
            <w:tcBorders>
              <w:left w:val="single" w:color="auto" w:sz="4" w:space="0"/>
              <w:bottom w:val="single" w:color="auto" w:sz="4" w:space="0"/>
              <w:right w:val="single" w:color="auto" w:sz="4" w:space="0"/>
            </w:tcBorders>
          </w:tcPr>
          <w:p>
            <w:pPr>
              <w:spacing w:line="360" w:lineRule="exact"/>
              <w:jc w:val="center"/>
              <w:rPr>
                <w:color w:val="000000" w:themeColor="text1"/>
                <w:spacing w:val="8"/>
                <w:sz w:val="24"/>
                <w:szCs w:val="24"/>
                <w14:textFill>
                  <w14:solidFill>
                    <w14:schemeClr w14:val="tx1"/>
                  </w14:solidFill>
                </w14:textFill>
              </w:rPr>
            </w:pPr>
          </w:p>
        </w:tc>
        <w:tc>
          <w:tcPr>
            <w:tcW w:w="73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706"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16"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c>
          <w:tcPr>
            <w:tcW w:w="1178" w:type="dxa"/>
            <w:tcBorders>
              <w:left w:val="single" w:color="auto" w:sz="4" w:space="0"/>
              <w:bottom w:val="single" w:color="auto" w:sz="4" w:space="0"/>
              <w:right w:val="single" w:color="auto" w:sz="4" w:space="0"/>
            </w:tcBorders>
            <w:vAlign w:val="center"/>
          </w:tcPr>
          <w:p>
            <w:pPr>
              <w:spacing w:line="360" w:lineRule="exact"/>
              <w:jc w:val="center"/>
              <w:rPr>
                <w:color w:val="000000" w:themeColor="text1"/>
                <w:spacing w:val="8"/>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合计</w:t>
            </w:r>
          </w:p>
        </w:tc>
        <w:tc>
          <w:tcPr>
            <w:tcW w:w="8080"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b/>
                <w:bCs/>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大写：</w:t>
            </w:r>
            <w:r>
              <w:rPr>
                <w:rFonts w:hint="eastAsia"/>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 xml:space="preserve">     （小写）：￥          </w:t>
            </w:r>
            <w:r>
              <w:rPr>
                <w:rFonts w:hint="eastAsia"/>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 xml:space="preserve">     元</w:t>
            </w:r>
            <w:r>
              <w:rPr>
                <w:b/>
                <w:bCs/>
                <w:color w:val="000000" w:themeColor="text1"/>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0173"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b/>
                <w:bCs/>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含运输，搬运，保险，安装，调试，税收等相关费用。</w:t>
            </w:r>
          </w:p>
        </w:tc>
      </w:tr>
    </w:tbl>
    <w:p>
      <w:pPr>
        <w:spacing w:line="360" w:lineRule="auto"/>
        <w:jc w:val="left"/>
        <w:rPr>
          <w:rFonts w:ascii="宋体" w:hAnsi="宋体" w:cs="宋体"/>
          <w:color w:val="000000" w:themeColor="text1"/>
          <w14:textFill>
            <w14:solidFill>
              <w14:schemeClr w14:val="tx1"/>
            </w14:solidFill>
          </w14:textFill>
        </w:rPr>
      </w:pPr>
    </w:p>
    <w:p>
      <w:pPr>
        <w:pStyle w:val="2"/>
        <w:ind w:firstLine="0" w:firstLineChars="0"/>
        <w:rPr>
          <w:color w:val="000000" w:themeColor="text1"/>
          <w:lang w:val="en-US"/>
          <w14:textFill>
            <w14:solidFill>
              <w14:schemeClr w14:val="tx1"/>
            </w14:solidFill>
          </w14:textFill>
        </w:rPr>
      </w:pPr>
    </w:p>
    <w:p>
      <w:pPr>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第二条 质量要求、标准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乙方所提供的设备必须符合国家有关标准和产品说明书的要求。设备配置清单及技术要求详见附件。</w:t>
      </w: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第三条 交货时间</w:t>
      </w:r>
    </w:p>
    <w:p>
      <w:pPr>
        <w:tabs>
          <w:tab w:val="left" w:pos="945"/>
        </w:tabs>
        <w:adjustRightInd w:val="0"/>
        <w:spacing w:line="400" w:lineRule="exact"/>
        <w:ind w:firstLine="51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合同中国产设备，乙方须在合同签订后</w:t>
      </w:r>
      <w:r>
        <w:rPr>
          <w:color w:val="000000" w:themeColor="text1"/>
          <w:sz w:val="24"/>
          <w:szCs w:val="24"/>
          <w:u w:val="single"/>
          <w14:textFill>
            <w14:solidFill>
              <w14:schemeClr w14:val="tx1"/>
            </w14:solidFill>
          </w14:textFill>
        </w:rPr>
        <w:t xml:space="preserve">   </w:t>
      </w:r>
      <w:r>
        <w:rPr>
          <w:color w:val="000000" w:themeColor="text1"/>
          <w:sz w:val="24"/>
          <w:szCs w:val="24"/>
          <w14:textFill>
            <w14:solidFill>
              <w14:schemeClr w14:val="tx1"/>
            </w14:solidFill>
          </w14:textFill>
        </w:rPr>
        <w:t>日</w:t>
      </w:r>
      <w:r>
        <w:rPr>
          <w:rFonts w:hint="eastAsia"/>
          <w:color w:val="000000" w:themeColor="text1"/>
          <w:sz w:val="24"/>
          <w:szCs w:val="24"/>
          <w14:textFill>
            <w14:solidFill>
              <w14:schemeClr w14:val="tx1"/>
            </w14:solidFill>
          </w14:textFill>
        </w:rPr>
        <w:t>内</w:t>
      </w:r>
      <w:r>
        <w:rPr>
          <w:color w:val="000000" w:themeColor="text1"/>
          <w:sz w:val="24"/>
          <w:szCs w:val="24"/>
          <w14:textFill>
            <w14:solidFill>
              <w14:schemeClr w14:val="tx1"/>
            </w14:solidFill>
          </w14:textFill>
        </w:rPr>
        <w:t>免费将本合同订购之设备送至甲方指定地点，并负责安装完毕。</w:t>
      </w:r>
    </w:p>
    <w:p>
      <w:pPr>
        <w:tabs>
          <w:tab w:val="left" w:pos="945"/>
        </w:tabs>
        <w:adjustRightInd w:val="0"/>
        <w:spacing w:line="400" w:lineRule="exact"/>
        <w:ind w:firstLine="510"/>
        <w:rPr>
          <w:b/>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合同中进口设备，乙方须在合同签订后</w:t>
      </w:r>
      <w:r>
        <w:rPr>
          <w:color w:val="000000" w:themeColor="text1"/>
          <w:sz w:val="24"/>
          <w:szCs w:val="24"/>
          <w:u w:val="single"/>
          <w14:textFill>
            <w14:solidFill>
              <w14:schemeClr w14:val="tx1"/>
            </w14:solidFill>
          </w14:textFill>
        </w:rPr>
        <w:t xml:space="preserve">   </w:t>
      </w:r>
      <w:r>
        <w:rPr>
          <w:color w:val="000000" w:themeColor="text1"/>
          <w:sz w:val="24"/>
          <w:szCs w:val="24"/>
          <w14:textFill>
            <w14:solidFill>
              <w14:schemeClr w14:val="tx1"/>
            </w14:solidFill>
          </w14:textFill>
        </w:rPr>
        <w:t>日</w:t>
      </w:r>
      <w:r>
        <w:rPr>
          <w:rFonts w:hint="eastAsia"/>
          <w:color w:val="000000" w:themeColor="text1"/>
          <w:sz w:val="24"/>
          <w:szCs w:val="24"/>
          <w14:textFill>
            <w14:solidFill>
              <w14:schemeClr w14:val="tx1"/>
            </w14:solidFill>
          </w14:textFill>
        </w:rPr>
        <w:t>内</w:t>
      </w:r>
      <w:r>
        <w:rPr>
          <w:color w:val="000000" w:themeColor="text1"/>
          <w:sz w:val="24"/>
          <w:szCs w:val="24"/>
          <w14:textFill>
            <w14:solidFill>
              <w14:schemeClr w14:val="tx1"/>
            </w14:solidFill>
          </w14:textFill>
        </w:rPr>
        <w:t>免费将本合同订购之设备送至甲方指定地点，并负责安装完毕。</w:t>
      </w:r>
    </w:p>
    <w:p>
      <w:pPr>
        <w:spacing w:before="24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第四条 安装及验收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一、乙方负责设备的安装</w:t>
      </w:r>
      <w:r>
        <w:rPr>
          <w:rFonts w:hint="eastAsia" w:ascii="宋体" w:hAnsi="宋体" w:cs="宋体"/>
          <w:color w:val="000000" w:themeColor="text1"/>
          <w:sz w:val="24"/>
          <w:szCs w:val="24"/>
          <w14:textFill>
            <w14:solidFill>
              <w14:schemeClr w14:val="tx1"/>
            </w14:solidFill>
          </w14:textFill>
        </w:rPr>
        <w:t>、调试以及正式运行。</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安装费用由乙方承担，丙方向乙方提供工作场地、电源等条件，乙方在安装前应对丙方提供的场地和电源等环境进行检测，认为合格后方可进行安装。乙方工作人员在安装过程中应当严守丙方工作场所的工作纪律及相关规定。</w:t>
      </w:r>
    </w:p>
    <w:p>
      <w:pPr>
        <w:tabs>
          <w:tab w:val="left" w:pos="900"/>
          <w:tab w:val="left" w:pos="945"/>
        </w:tabs>
        <w:adjustRightInd w:val="0"/>
        <w:spacing w:line="400" w:lineRule="exact"/>
        <w:ind w:firstLine="460" w:firstLineChars="192"/>
        <w:rPr>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color w:val="000000" w:themeColor="text1"/>
          <w:sz w:val="24"/>
          <w:szCs w:val="24"/>
          <w14:textFill>
            <w14:solidFill>
              <w14:schemeClr w14:val="tx1"/>
            </w14:solidFill>
          </w14:textFill>
        </w:rPr>
        <w:t>乙方须保证甲方所购设备为原厂全新产品，并符合本合同对配置的要求，否则视为不合格设备。乙方免费安装、调试完好并承担如下服务：</w:t>
      </w:r>
    </w:p>
    <w:p>
      <w:pPr>
        <w:tabs>
          <w:tab w:val="left" w:pos="900"/>
          <w:tab w:val="left" w:pos="945"/>
        </w:tabs>
        <w:adjustRightInd w:val="0"/>
        <w:spacing w:line="400" w:lineRule="exact"/>
        <w:ind w:firstLine="460" w:firstLineChars="192"/>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（1）提供符合国家税务机关规定的正式全额增值税专用发票。</w:t>
      </w:r>
    </w:p>
    <w:p>
      <w:pPr>
        <w:tabs>
          <w:tab w:val="left" w:pos="900"/>
          <w:tab w:val="left" w:pos="945"/>
        </w:tabs>
        <w:adjustRightInd w:val="0"/>
        <w:spacing w:line="400" w:lineRule="exact"/>
        <w:ind w:firstLine="460" w:firstLineChars="192"/>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（2）每延迟一天供货，乙方须向甲方支付违约金（RMB）500.00元整，总违约金累计计算。违约金由甲方从乙方货款中直接扣除。</w:t>
      </w:r>
    </w:p>
    <w:p>
      <w:pPr>
        <w:tabs>
          <w:tab w:val="left" w:pos="900"/>
        </w:tabs>
        <w:adjustRightInd w:val="0"/>
        <w:spacing w:line="400" w:lineRule="exact"/>
        <w:ind w:firstLine="360" w:firstLineChars="15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）乙方设备到达</w:t>
      </w:r>
      <w:r>
        <w:rPr>
          <w:rFonts w:hint="eastAsia"/>
          <w:color w:val="000000" w:themeColor="text1"/>
          <w:sz w:val="24"/>
          <w:szCs w:val="24"/>
          <w14:textFill>
            <w14:solidFill>
              <w14:schemeClr w14:val="tx1"/>
            </w14:solidFill>
          </w14:textFill>
        </w:rPr>
        <w:t>丙</w:t>
      </w:r>
      <w:r>
        <w:rPr>
          <w:color w:val="000000" w:themeColor="text1"/>
          <w:sz w:val="24"/>
          <w:szCs w:val="24"/>
          <w14:textFill>
            <w14:solidFill>
              <w14:schemeClr w14:val="tx1"/>
            </w14:solidFill>
          </w14:textFill>
        </w:rPr>
        <w:t>方后，在搬运和现场安装等过程中，要做好安全防护工作。在实施期间造成人身及财产损害，所有责任均由乙方承担。</w:t>
      </w:r>
    </w:p>
    <w:p>
      <w:pPr>
        <w:pStyle w:val="8"/>
        <w:spacing w:line="400" w:lineRule="exact"/>
        <w:rPr>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本合同“免费质保”均指甲方使用过程中“非人为因素”造成乙方所提供设备损坏的前提下。</w:t>
      </w:r>
      <w:r>
        <w:rPr>
          <w:color w:val="000000" w:themeColor="text1"/>
          <w:sz w:val="24"/>
          <w:szCs w:val="24"/>
          <w14:textFill>
            <w14:solidFill>
              <w14:schemeClr w14:val="tx1"/>
            </w14:solidFill>
          </w14:textFill>
        </w:rPr>
        <w:t>质保起算时间以甲</w:t>
      </w:r>
      <w:r>
        <w:rPr>
          <w:rFonts w:hint="eastAsia"/>
          <w:color w:val="000000" w:themeColor="text1"/>
          <w:sz w:val="24"/>
          <w:szCs w:val="24"/>
          <w14:textFill>
            <w14:solidFill>
              <w14:schemeClr w14:val="tx1"/>
            </w14:solidFill>
          </w14:textFill>
        </w:rPr>
        <w:t>、丙</w:t>
      </w:r>
      <w:r>
        <w:rPr>
          <w:color w:val="000000" w:themeColor="text1"/>
          <w:sz w:val="24"/>
          <w:szCs w:val="24"/>
          <w14:textFill>
            <w14:solidFill>
              <w14:schemeClr w14:val="tx1"/>
            </w14:solidFill>
          </w14:textFill>
        </w:rPr>
        <w:t>方的验收合格时间开始计算。</w:t>
      </w:r>
    </w:p>
    <w:p>
      <w:pPr>
        <w:pStyle w:val="2"/>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二、验收</w:t>
      </w:r>
    </w:p>
    <w:p>
      <w:pPr>
        <w:tabs>
          <w:tab w:val="left" w:pos="735"/>
          <w:tab w:val="left" w:pos="900"/>
          <w:tab w:val="left" w:pos="945"/>
          <w:tab w:val="left" w:pos="1080"/>
        </w:tabs>
        <w:adjustRightInd w:val="0"/>
        <w:snapToGrid w:val="0"/>
        <w:spacing w:line="400" w:lineRule="exact"/>
        <w:ind w:firstLine="480" w:firstLineChars="200"/>
        <w:rPr>
          <w:color w:val="000000" w:themeColor="text1"/>
          <w:sz w:val="24"/>
          <w:szCs w:val="24"/>
          <w14:textFill>
            <w14:solidFill>
              <w14:schemeClr w14:val="tx1"/>
            </w14:solidFill>
          </w14:textFill>
        </w:rPr>
      </w:pPr>
      <w:r>
        <w:rPr>
          <w:sz w:val="24"/>
          <w:szCs w:val="24"/>
        </w:rPr>
        <w:t>如经甲</w:t>
      </w:r>
      <w:r>
        <w:rPr>
          <w:rFonts w:hint="eastAsia"/>
          <w:sz w:val="24"/>
          <w:szCs w:val="24"/>
        </w:rPr>
        <w:t>、丙</w:t>
      </w:r>
      <w:r>
        <w:rPr>
          <w:sz w:val="24"/>
          <w:szCs w:val="24"/>
        </w:rPr>
        <w:t>方验收为不合格，</w:t>
      </w:r>
      <w:r>
        <w:rPr>
          <w:color w:val="000000" w:themeColor="text1"/>
          <w:sz w:val="24"/>
          <w:szCs w:val="24"/>
          <w14:textFill>
            <w14:solidFill>
              <w14:schemeClr w14:val="tx1"/>
            </w14:solidFill>
          </w14:textFill>
        </w:rPr>
        <w:t>根据乙方不合格违约责任的大小，由乙方支付合同中不合格产品总价的5%-20%给甲方作为违约金，并在保证甲方使用的前提下，乙方应按合同质量要求，重新提供合格产品并安装调试到位。如乙方提供的产品存在重大质量问题，乙方除按不合格产品总价承担20%违约金之外甲方有权根据乙方的解决方案及结果拒付部分甚至全部货款，甲方也有权予以退换。因乙方所提供设备存在质量问题或不符合本合同要求而影响</w:t>
      </w:r>
      <w:r>
        <w:rPr>
          <w:rFonts w:hint="eastAsia"/>
          <w:color w:val="000000" w:themeColor="text1"/>
          <w:sz w:val="24"/>
          <w:szCs w:val="24"/>
          <w14:textFill>
            <w14:solidFill>
              <w14:schemeClr w14:val="tx1"/>
            </w14:solidFill>
          </w14:textFill>
        </w:rPr>
        <w:t>丙</w:t>
      </w:r>
      <w:r>
        <w:rPr>
          <w:color w:val="000000" w:themeColor="text1"/>
          <w:sz w:val="24"/>
          <w:szCs w:val="24"/>
          <w14:textFill>
            <w14:solidFill>
              <w14:schemeClr w14:val="tx1"/>
            </w14:solidFill>
          </w14:textFill>
        </w:rPr>
        <w:t>方的教学与相关工作的正常开展，或造成有形或无形损失的，甲方保留向乙方索赔的权利。</w:t>
      </w:r>
    </w:p>
    <w:p>
      <w:pPr>
        <w:pStyle w:val="2"/>
        <w:rPr>
          <w:color w:val="000000" w:themeColor="text1"/>
          <w:lang w:val="en-US"/>
          <w14:textFill>
            <w14:solidFill>
              <w14:schemeClr w14:val="tx1"/>
            </w14:solidFill>
          </w14:textFill>
        </w:rPr>
      </w:pPr>
    </w:p>
    <w:p>
      <w:pPr>
        <w:spacing w:line="360" w:lineRule="auto"/>
        <w:ind w:firstLine="480" w:firstLineChars="20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第五条 设备维护、技术支持及培训服务</w:t>
      </w:r>
    </w:p>
    <w:p>
      <w:pPr>
        <w:tabs>
          <w:tab w:val="left" w:pos="900"/>
        </w:tabs>
        <w:adjustRightInd w:val="0"/>
        <w:spacing w:line="400" w:lineRule="exact"/>
        <w:ind w:firstLine="460" w:firstLineChars="192"/>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甲方所购设备质保期为</w:t>
      </w:r>
      <w:r>
        <w:rPr>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14:textFill>
            <w14:solidFill>
              <w14:schemeClr w14:val="tx1"/>
            </w14:solidFill>
          </w14:textFill>
        </w:rPr>
        <w:t xml:space="preserve"> </w:t>
      </w:r>
      <w:r>
        <w:rPr>
          <w:color w:val="000000" w:themeColor="text1"/>
          <w:sz w:val="24"/>
          <w:szCs w:val="24"/>
          <w:u w:val="single"/>
          <w14:textFill>
            <w14:solidFill>
              <w14:schemeClr w14:val="tx1"/>
            </w14:solidFill>
          </w14:textFill>
        </w:rPr>
        <w:t xml:space="preserve">  </w:t>
      </w:r>
      <w:r>
        <w:rPr>
          <w:color w:val="000000" w:themeColor="text1"/>
          <w:sz w:val="24"/>
          <w:szCs w:val="24"/>
          <w14:textFill>
            <w14:solidFill>
              <w14:schemeClr w14:val="tx1"/>
            </w14:solidFill>
          </w14:textFill>
        </w:rPr>
        <w:t>年，质保期内免费上门服务。乙方的响应时间是在接到甲方电话后1个小时内响应，在48小时内解决问题。无法当场检修的，乙方提供相同规格的设备代用。如无法当场检修且乙方不能提供相同规格的设备代用，乙方须向甲方支付（RMB）500.00元/天的违约金。</w:t>
      </w:r>
    </w:p>
    <w:p>
      <w:pPr>
        <w:tabs>
          <w:tab w:val="left" w:pos="900"/>
        </w:tabs>
        <w:adjustRightInd w:val="0"/>
        <w:spacing w:line="400" w:lineRule="exact"/>
        <w:ind w:firstLine="360" w:firstLineChars="1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w:t>
      </w:r>
      <w:r>
        <w:rPr>
          <w:color w:val="000000" w:themeColor="text1"/>
          <w:sz w:val="24"/>
          <w:szCs w:val="24"/>
          <w14:textFill>
            <w14:solidFill>
              <w14:schemeClr w14:val="tx1"/>
            </w14:solidFill>
          </w14:textFill>
        </w:rPr>
        <w:t>在设备免费质保期满后，乙方对甲方所购设备提供终身维修服务，只收更换部件成本费，免收服务费。</w:t>
      </w:r>
    </w:p>
    <w:p>
      <w:pPr>
        <w:spacing w:line="4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第六条 支付方式</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一、本合同项下的价款和价外费用均为包含增值税的含税价，甲方无须再向乙方支付其他款项。甲乙双方之间发生的本合同项下的一切价款、费用均以人民币结算及支付。</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二、支付时，甲方应按照本合同约定将款项转入乙方指定的账户。如有变更，乙方应在合同规定的相关付款期限前</w:t>
      </w:r>
      <w:r>
        <w:rPr>
          <w:rFonts w:hint="eastAsia" w:ascii="宋体" w:hAnsi="宋体" w:cs="宋体"/>
          <w:color w:val="000000" w:themeColor="text1"/>
          <w:sz w:val="24"/>
          <w:u w:val="single"/>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日以书面方式通知甲方，通知应加盖乙方公章。</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三、甲丙双方共同完成本合同项下的设备验收工作，验收合格后，在甲方收到乙方提交的经认证有效的增值税率为1%的增值税专用发票后10个工作日内一次性向乙方支付本合同价款的95%，即人民币（大写）</w:t>
      </w:r>
      <w:r>
        <w:rPr>
          <w:color w:val="000000" w:themeColor="text1"/>
          <w:sz w:val="24"/>
          <w:szCs w:val="24"/>
          <w14:textFill>
            <w14:solidFill>
              <w14:schemeClr w14:val="tx1"/>
            </w14:solidFill>
          </w14:textFill>
        </w:rPr>
        <w:t>人民币：</w:t>
      </w:r>
      <w:r>
        <w:rPr>
          <w:rFonts w:hint="eastAsia"/>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 xml:space="preserve">             元整（￥      元）</w:t>
      </w:r>
      <w:r>
        <w:rPr>
          <w:rFonts w:hint="eastAsia" w:ascii="宋体" w:hAnsi="宋体" w:cs="宋体"/>
          <w:color w:val="000000" w:themeColor="text1"/>
          <w:sz w:val="24"/>
          <w:szCs w:val="24"/>
          <w14:textFill>
            <w14:solidFill>
              <w14:schemeClr w14:val="tx1"/>
            </w14:solidFill>
          </w14:textFill>
        </w:rPr>
        <w:t>；按照本合同约定，设备稳定运行12个月后，甲丙双方共同对设备做最终验收，验收合格后，且甲方收到乙方提交的经认证有效的税率为1%的增值税专用发票后10个工作日内，甲方向乙方支付本合同总价款的全部剩余款项，即人民币（大写）</w:t>
      </w:r>
      <w:r>
        <w:rPr>
          <w:rFonts w:hint="eastAsia"/>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 xml:space="preserve">      元整（￥       元）</w:t>
      </w:r>
      <w:r>
        <w:rPr>
          <w:rFonts w:hint="eastAsia" w:ascii="宋体" w:hAnsi="宋体" w:cs="宋体"/>
          <w:color w:val="000000" w:themeColor="text1"/>
          <w:sz w:val="24"/>
          <w:szCs w:val="24"/>
          <w14:textFill>
            <w14:solidFill>
              <w14:schemeClr w14:val="tx1"/>
            </w14:solidFill>
          </w14:textFill>
        </w:rPr>
        <w:t>。如有质量问题，不能及时更换或不能及时维保到位，尾款不予支付并按合同追究赔偿等责任。如验收不合格以及发现伪劣产品等，甲丙双方将视其情况，采取退货、拒付货款、索赔等措施，直至向质量技术监督主管部门报告，依法处理。</w:t>
      </w:r>
    </w:p>
    <w:p>
      <w:pPr>
        <w:tabs>
          <w:tab w:val="left" w:pos="735"/>
          <w:tab w:val="left" w:pos="900"/>
          <w:tab w:val="left" w:pos="945"/>
        </w:tabs>
        <w:adjustRightInd w:val="0"/>
        <w:snapToGrid w:val="0"/>
        <w:spacing w:line="400" w:lineRule="exact"/>
        <w:ind w:firstLine="482"/>
        <w:rPr>
          <w:color w:val="000000" w:themeColor="text1"/>
          <w:sz w:val="24"/>
          <w:szCs w:val="24"/>
          <w14:textFill>
            <w14:solidFill>
              <w14:schemeClr w14:val="tx1"/>
            </w14:solidFill>
          </w14:textFill>
        </w:rPr>
      </w:pPr>
    </w:p>
    <w:p>
      <w:pPr>
        <w:pStyle w:val="9"/>
        <w:adjustRightInd w:val="0"/>
        <w:snapToGrid w:val="0"/>
        <w:spacing w:line="460" w:lineRule="exact"/>
        <w:ind w:firstLine="420" w:firstLineChars="200"/>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四、发票</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1.乙方应当按照下列约定开具发票：</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在收到甲方的通知后5个工作日内开具(或通过税务机关代开）当次支付金额的符合规定的增值税专用发票。</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2.甲方提供的开票信息</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公司名称(全称)：中国光大银行股份有限公司淮安分行</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纳税人识别号：91320800MA22LGJA36</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银行账户：57920188000000119</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开户银行：中国光大银行股份有限公司淮安分行</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 淮安市金融中心B4号楼裙楼一层北侧   电话：0517-89899521</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3.乙方应当在发票开具之日起5日内向甲方交付，否则甲方有权拒收发票并要求乙方重新开具。</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4.如乙方向甲方开具的发票无效、虚假，或者乙方发生迟延开具或交付发票的情形，乙方应当赔偿甲方全部损失，包括但不限于税金、附加税费、罚金、滞纳金。</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5.如发生需要作废发票或开具红字发票等情形，乙方应当根据甲方要求及时开具发票。</w:t>
      </w:r>
    </w:p>
    <w:p>
      <w:pPr>
        <w:spacing w:before="24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第七条 保密条款</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甲乙丙三方对在本合同签订、履行过程中知悉的对方资料和信息，除该方作出相反的书面说明外，均应视为该方的商业秘密，未经该方书面同意不得向任何第三方泄漏。任何一方因违反保密义务而给另一方造成损失的应负相应的赔偿责任。不论本合同是否解除或终止，本条款在保密期限内持续有效，自本合同生效之日起算，保密期限为永久，直至被合法公开。</w:t>
      </w:r>
    </w:p>
    <w:p>
      <w:pPr>
        <w:spacing w:before="24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第八条 乙方的违约责任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一、乙方所交标的物不符合合同约定的，乙方应当在收到甲、丙方通知后</w:t>
      </w:r>
      <w:r>
        <w:rPr>
          <w:rFonts w:hint="eastAsia" w:ascii="宋体" w:hAnsi="宋体" w:cs="宋体"/>
          <w:color w:val="000000" w:themeColor="text1"/>
          <w:sz w:val="24"/>
          <w:u w:val="single"/>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日内对标的物进行更换直至符合合同约定的要求，并承担由此产生的全部费用。乙方同时还应向甲方支付违约金，违约金按合同总价款乘以10%计算，但乙方能在交货期限前更换直至符合合同约定要求的，可不支付违约金。</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二、如乙方提供的货物不符合本合同第二条约定的质量标准，甲方有权选择行使下列权利：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1.要求乙方在5日内更换不符合合同约定要求的标的物，向甲方支付因不符合同约定而需更换的标的物价款乘以10%的违约金。</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2.解除合同，要求乙方向甲方返还已支付的货款并支付货款总金额 10%的违约金。甲、丙方因此遭受损失的，乙方还应赔偿甲、丙方遭受的损失。</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乙方逾期交货或按本条第一款约定需更换、补足货物但逾期未更换、补足的，应当向甲方支付违约金，违约金按逾期交货（更换、补足）部分货物的价款乘以逾期天数乘以1 ‰计算，甲、丙方因乙方未按期交货（更换、补足）遭受损失的，乙方还应当赔偿损失。如乙方逾期5日仍未完成全部交货（更换、补足）义务的，甲方有权解除合同，乙方应当对甲、丙方由此而遭受的全部损失和费用承担赔偿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乙方未按本合同第六条约定承担维护维修、技术支持以及培训服务的，应承担继续履行、采取补救措施和赔偿损失等违约责任，并向甲、丙方支付违约金：对于超过时限不履行义务的，乙方应按照货款总金额的10%乘以逾期天数支付违约金；对于其他违约情形的，乙方应就每一违约事件按照货款总金额的1％支付违约金。甲、丙方因此遭受损失的，乙方应当对甲、丙方由此而遭受的全部损失和费用承担赔偿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五、乙方未按本合同约定承担保密责任的，需承担由此给甲、丙方造成的损失。</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六、因本合同项下的货物及与该货物有关的技术、附属设备及安装调试等存在瑕疵，从而在使用过程中给甲、丙方或相关其他方造成任何人身或财产损失的，乙方应承担全部赔偿责任。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七、乙方在安装调试过程中造成本合同项下货物毁损的，乙方应当予以修复或更换，由此给甲、丙方造成损失的，应当向甲、丙方承担赔偿责任。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八、乙方应当向甲方支付违约金或赔偿金的，应当在甲方发出索赔通知后</w:t>
      </w:r>
      <w:r>
        <w:rPr>
          <w:rFonts w:hint="eastAsia" w:ascii="宋体" w:hAnsi="宋体" w:cs="宋体"/>
          <w:color w:val="000000" w:themeColor="text1"/>
          <w:sz w:val="24"/>
          <w:u w:val="single"/>
          <w14:textFill>
            <w14:solidFill>
              <w14:schemeClr w14:val="tx1"/>
            </w14:solidFill>
          </w14:textFill>
        </w:rPr>
        <w:t xml:space="preserve"> 5</w:t>
      </w:r>
      <w:r>
        <w:rPr>
          <w:rFonts w:hint="eastAsia" w:ascii="宋体" w:hAnsi="宋体" w:cs="宋体"/>
          <w:color w:val="000000" w:themeColor="text1"/>
          <w:sz w:val="24"/>
          <w14:textFill>
            <w14:solidFill>
              <w14:schemeClr w14:val="tx1"/>
            </w14:solidFill>
          </w14:textFill>
        </w:rPr>
        <w:t>日之内支付给甲方。甲方尚有未向乙方支付的货款的，乙方同意甲方从未支付货款中抵扣相应数额的款项。</w:t>
      </w:r>
    </w:p>
    <w:p>
      <w:pPr>
        <w:spacing w:before="24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第九条 甲方的违约责任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一、合同生效后，乙方无违约情形而甲方提出全部或部分退货的，乙方应予同意，但甲方应向乙方偿付退货部分货款1％的违约金。</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二、甲方逾期支付货款的，则甲方应向乙方支付违约金，违约金按逾期支付的款项乘以逾期天数乘以 1‰计算。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三、甲方未按本合同约定承担保密责任的，需承担由此给乙方造成的损失。</w:t>
      </w:r>
    </w:p>
    <w:p>
      <w:pPr>
        <w:spacing w:before="24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第十条 不可抗力</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一、如因战争、洪水、台风、地震等不可抗力原因造成合同一方不能按期履行合同的，该方履行期限可相应顺延，对于由此造成的损失，双方均不承担责任。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受不可抗力影响不能按期履行的一方，应当在不可抗力发生后最短时间内以快递邮件或传真方式通知合同对方当事人，并在合理期限内提供有关权威机构的有效证明。收到发生不可抗力通知的一方须立即采取适当措施防止上述不可抗力造成的损失后果扩大，没有采取适当措施致使损失扩大的，不得就扩大的损失要求赔偿。</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三、受不可抗力影响而不能按期履行的一方，应在不可抗力终止或消除后尽快通过快递邮件或传真通知合同对方当事人。如果不可抗力持续时间超过</w:t>
      </w:r>
      <w:r>
        <w:rPr>
          <w:rFonts w:hint="eastAsia" w:ascii="宋体" w:hAnsi="宋体" w:cs="宋体"/>
          <w:color w:val="000000" w:themeColor="text1"/>
          <w:sz w:val="24"/>
          <w:u w:val="single"/>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日，合同双方应通过友好协商解决合同以后的执行问题。</w:t>
      </w:r>
    </w:p>
    <w:p>
      <w:pPr>
        <w:spacing w:line="360" w:lineRule="auto"/>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第十一条 合同的补充、变更与解除</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一、本合同如有未尽事宜，须经三方共同协商达成书面补充协议，补充协议与本合同具有同等法律效力。</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二、在本合同履行过程中，三方经协商一致达成书面协议的可以变更或解除本合同。</w:t>
      </w:r>
    </w:p>
    <w:p>
      <w:pPr>
        <w:spacing w:before="24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第十二条 适用法律及合同争议解决</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一、本合同适用中华人民共和国法律。</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二、凡因本合同引起的或与本合同有关的任何争议，合同双方应首先尝试通过协商解决。如果合同一方向另一方送交要求协商解决争议的书面通知后</w:t>
      </w:r>
      <w:r>
        <w:rPr>
          <w:rFonts w:hint="eastAsia" w:ascii="宋体" w:hAnsi="宋体" w:cs="宋体"/>
          <w:color w:val="000000" w:themeColor="text1"/>
          <w:sz w:val="24"/>
          <w:u w:val="single"/>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日内双方仍不能达成争议解决协议的，则任一合同方有权按照下列第</w:t>
      </w:r>
      <w:r>
        <w:rPr>
          <w:rFonts w:hint="eastAsia" w:ascii="宋体" w:hAnsi="宋体" w:cs="宋体"/>
          <w:color w:val="000000" w:themeColor="text1"/>
          <w:sz w:val="24"/>
          <w:u w:val="single"/>
          <w14:textFill>
            <w14:solidFill>
              <w14:schemeClr w14:val="tx1"/>
            </w14:solidFill>
          </w14:textFill>
        </w:rPr>
        <w:t xml:space="preserve"> 1</w:t>
      </w:r>
      <w:r>
        <w:rPr>
          <w:rFonts w:hint="eastAsia" w:ascii="宋体" w:hAnsi="宋体" w:cs="宋体"/>
          <w:color w:val="000000" w:themeColor="text1"/>
          <w:sz w:val="24"/>
          <w14:textFill>
            <w14:solidFill>
              <w14:schemeClr w14:val="tx1"/>
            </w14:solidFill>
          </w14:textFill>
        </w:rPr>
        <w:t>项规定行事：</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向甲方所在地人民法院起诉。</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2.将争议提交</w:t>
      </w:r>
      <w:r>
        <w:rPr>
          <w:rFonts w:hint="eastAsia" w:ascii="宋体" w:hAnsi="宋体" w:cs="宋体"/>
          <w:color w:val="000000" w:themeColor="text1"/>
          <w:sz w:val="24"/>
          <w:u w:val="single"/>
          <w14:textFill>
            <w14:solidFill>
              <w14:schemeClr w14:val="tx1"/>
            </w14:solidFill>
          </w14:textFill>
        </w:rPr>
        <w:t xml:space="preserve">  / </w:t>
      </w:r>
      <w:r>
        <w:rPr>
          <w:rFonts w:hint="eastAsia" w:ascii="宋体" w:hAnsi="宋体" w:cs="宋体"/>
          <w:color w:val="000000" w:themeColor="text1"/>
          <w:sz w:val="24"/>
          <w14:textFill>
            <w14:solidFill>
              <w14:schemeClr w14:val="tx1"/>
            </w14:solidFill>
          </w14:textFill>
        </w:rPr>
        <w:t>_仲裁委员会（仲裁地点</w:t>
      </w:r>
      <w:r>
        <w:rPr>
          <w:rFonts w:hint="eastAsia" w:ascii="宋体" w:hAnsi="宋体" w:cs="宋体"/>
          <w:color w:val="000000" w:themeColor="text1"/>
          <w:sz w:val="24"/>
          <w:u w:val="single"/>
          <w14:textFill>
            <w14:solidFill>
              <w14:schemeClr w14:val="tx1"/>
            </w14:solidFill>
          </w14:textFill>
        </w:rPr>
        <w:t xml:space="preserve">  / </w:t>
      </w:r>
      <w:r>
        <w:rPr>
          <w:rFonts w:hint="eastAsia" w:ascii="宋体" w:hAnsi="宋体" w:cs="宋体"/>
          <w:color w:val="000000" w:themeColor="text1"/>
          <w:sz w:val="24"/>
          <w14:textFill>
            <w14:solidFill>
              <w14:schemeClr w14:val="tx1"/>
            </w14:solidFill>
          </w14:textFill>
        </w:rPr>
        <w:t>_）并按照申请仲裁时该会现行有效的仲裁规则进行仲裁。仲裁裁决是终局的，对双方均有约束力。</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三、在诉讼或仲裁期间，本合同不涉及争议的条款仍须履行。</w:t>
      </w:r>
    </w:p>
    <w:p>
      <w:pPr>
        <w:spacing w:before="24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第十三条 合同的生效及合同份数</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本合同自甲乙丙三方法定代表人（负责人）或授权代理人签字并加盖公章后生效。本合同正本陆份，甲乙丙三方各执贰份，均具有同等法律效力。</w:t>
      </w:r>
    </w:p>
    <w:p>
      <w:pPr>
        <w:spacing w:before="24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第十四条 日期及合同文件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一、本合同中所称“日”，均指自然日。期限的最后一日为国家法定节假日的，顺延至节假日后的第一日。</w:t>
      </w:r>
    </w:p>
    <w:p>
      <w:pPr>
        <w:pStyle w:val="2"/>
        <w:rPr>
          <w:color w:val="000000" w:themeColor="text1"/>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甲方（公章）：中国光大银行股份有限公司淮安分行</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法定代表人或授权代理人（签字）：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    年    月     日</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乙方（公章）：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法定代表人（负责人）或授权代理人（签字）：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    年     月    日</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丙方（公章）：淮阴工学院</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法定代表人或授权代理人（签字）：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     年     月     日</w:t>
      </w:r>
    </w:p>
    <w:p>
      <w:pPr>
        <w:rPr>
          <w:rFonts w:ascii="宋体" w:hAnsi="宋体" w:cs="宋体"/>
          <w:color w:val="000000" w:themeColor="text1"/>
          <w14:textFill>
            <w14:solidFill>
              <w14:schemeClr w14:val="tx1"/>
            </w14:solidFill>
          </w14:textFill>
        </w:rPr>
      </w:pPr>
    </w:p>
    <w:p>
      <w:pPr>
        <w:pStyle w:val="2"/>
        <w:rPr>
          <w:color w:val="000000" w:themeColor="text1"/>
          <w:lang w:val="en-US"/>
          <w14:textFill>
            <w14:solidFill>
              <w14:schemeClr w14:val="tx1"/>
            </w14:solidFill>
          </w14:textFill>
        </w:rPr>
      </w:pPr>
    </w:p>
    <w:p>
      <w:pPr>
        <w:pStyle w:val="2"/>
        <w:rPr>
          <w:color w:val="000000" w:themeColor="text1"/>
          <w:lang w:val="en-US"/>
          <w14:textFill>
            <w14:solidFill>
              <w14:schemeClr w14:val="tx1"/>
            </w14:solidFill>
          </w14:textFill>
        </w:rPr>
      </w:pPr>
    </w:p>
    <w:p>
      <w:pPr>
        <w:pStyle w:val="2"/>
        <w:rPr>
          <w:color w:val="000000" w:themeColor="text1"/>
          <w:lang w:val="en-US"/>
          <w14:textFill>
            <w14:solidFill>
              <w14:schemeClr w14:val="tx1"/>
            </w14:solidFill>
          </w14:textFill>
        </w:rPr>
      </w:pPr>
    </w:p>
    <w:p>
      <w:pPr>
        <w:pStyle w:val="2"/>
        <w:rPr>
          <w:color w:val="000000" w:themeColor="text1"/>
          <w:lang w:val="en-US"/>
          <w14:textFill>
            <w14:solidFill>
              <w14:schemeClr w14:val="tx1"/>
            </w14:solidFill>
          </w14:textFill>
        </w:rPr>
      </w:pPr>
    </w:p>
    <w:p>
      <w:pPr>
        <w:pStyle w:val="2"/>
        <w:rPr>
          <w:color w:val="000000" w:themeColor="text1"/>
          <w:lang w:val="en-US"/>
          <w14:textFill>
            <w14:solidFill>
              <w14:schemeClr w14:val="tx1"/>
            </w14:solidFill>
          </w14:textFill>
        </w:rPr>
      </w:pPr>
    </w:p>
    <w:p>
      <w:pPr>
        <w:pStyle w:val="2"/>
        <w:rPr>
          <w:color w:val="000000" w:themeColor="text1"/>
          <w:lang w:val="en-US"/>
          <w14:textFill>
            <w14:solidFill>
              <w14:schemeClr w14:val="tx1"/>
            </w14:solidFill>
          </w14:textFill>
        </w:rPr>
      </w:pPr>
    </w:p>
    <w:p>
      <w:pPr>
        <w:pStyle w:val="2"/>
        <w:rPr>
          <w:color w:val="000000" w:themeColor="text1"/>
          <w:lang w:val="en-US"/>
          <w14:textFill>
            <w14:solidFill>
              <w14:schemeClr w14:val="tx1"/>
            </w14:solidFill>
          </w14:textFill>
        </w:rPr>
      </w:pPr>
    </w:p>
    <w:p>
      <w:pPr>
        <w:pStyle w:val="2"/>
        <w:rPr>
          <w:color w:val="000000" w:themeColor="text1"/>
          <w:lang w:val="en-US"/>
          <w14:textFill>
            <w14:solidFill>
              <w14:schemeClr w14:val="tx1"/>
            </w14:solidFill>
          </w14:textFill>
        </w:rPr>
      </w:pPr>
    </w:p>
    <w:p>
      <w:pPr>
        <w:pStyle w:val="2"/>
        <w:rPr>
          <w:color w:val="000000" w:themeColor="text1"/>
          <w:lang w:val="en-US"/>
          <w14:textFill>
            <w14:solidFill>
              <w14:schemeClr w14:val="tx1"/>
            </w14:solidFill>
          </w14:textFill>
        </w:rPr>
      </w:pPr>
      <w:r>
        <w:rPr>
          <w:color w:val="000000" w:themeColor="text1"/>
          <w14:textFill>
            <w14:solidFill>
              <w14:schemeClr w14:val="tx1"/>
            </w14:solidFill>
          </w14:textFill>
        </w:rPr>
        <w:br w:type="page"/>
      </w:r>
      <w:r>
        <w:rPr>
          <w:rFonts w:hint="eastAsia"/>
          <w:color w:val="000000" w:themeColor="text1"/>
          <w:lang w:val="en-US"/>
          <w14:textFill>
            <w14:solidFill>
              <w14:schemeClr w14:val="tx1"/>
            </w14:solidFill>
          </w14:textFill>
        </w:rPr>
        <w:t>附件：</w:t>
      </w:r>
    </w:p>
    <w:p>
      <w:pPr>
        <w:pStyle w:val="2"/>
        <w:ind w:firstLine="0" w:firstLineChars="0"/>
        <w:jc w:val="center"/>
        <w:rPr>
          <w:rFonts w:ascii="方正小标宋简体" w:eastAsia="方正小标宋简体"/>
          <w:color w:val="000000" w:themeColor="text1"/>
          <w:sz w:val="36"/>
          <w:szCs w:val="36"/>
          <w:lang w:val="en-US"/>
          <w14:textFill>
            <w14:solidFill>
              <w14:schemeClr w14:val="tx1"/>
            </w14:solidFill>
          </w14:textFill>
        </w:rPr>
      </w:pPr>
      <w:r>
        <w:rPr>
          <w:rFonts w:hint="eastAsia" w:ascii="方正小标宋简体" w:eastAsia="方正小标宋简体"/>
          <w:color w:val="000000" w:themeColor="text1"/>
          <w:sz w:val="36"/>
          <w:szCs w:val="36"/>
          <w:lang w:val="en-US"/>
          <w14:textFill>
            <w14:solidFill>
              <w14:schemeClr w14:val="tx1"/>
            </w14:solidFill>
          </w14:textFill>
        </w:rPr>
        <w:t>设备配置清单与技术参数要求</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一、配置清单：</w:t>
      </w:r>
    </w:p>
    <w:p>
      <w:pPr>
        <w:pStyle w:val="2"/>
        <w:rPr>
          <w:color w:val="000000" w:themeColor="text1"/>
          <w:lang w:val="en-US"/>
          <w14:textFill>
            <w14:solidFill>
              <w14:schemeClr w14:val="tx1"/>
            </w14:solidFill>
          </w14:textFill>
        </w:rPr>
      </w:pPr>
    </w:p>
    <w:p>
      <w:pPr>
        <w:pStyle w:val="2"/>
        <w:rPr>
          <w:color w:val="000000" w:themeColor="text1"/>
          <w:lang w:val="en-US"/>
          <w14:textFill>
            <w14:solidFill>
              <w14:schemeClr w14:val="tx1"/>
            </w14:solidFill>
          </w14:textFill>
        </w:rPr>
      </w:pPr>
    </w:p>
    <w:p>
      <w:pPr>
        <w:pStyle w:val="2"/>
        <w:rPr>
          <w:color w:val="000000" w:themeColor="text1"/>
          <w:lang w:val="en-US"/>
          <w14:textFill>
            <w14:solidFill>
              <w14:schemeClr w14:val="tx1"/>
            </w14:solidFill>
          </w14:textFill>
        </w:rPr>
      </w:pPr>
    </w:p>
    <w:p>
      <w:pPr>
        <w:pStyle w:val="2"/>
        <w:rPr>
          <w:color w:val="000000" w:themeColor="text1"/>
          <w:lang w:val="en-US"/>
          <w14:textFill>
            <w14:solidFill>
              <w14:schemeClr w14:val="tx1"/>
            </w14:solidFill>
          </w14:textFill>
        </w:rPr>
      </w:pPr>
    </w:p>
    <w:p>
      <w:pPr>
        <w:rPr>
          <w:rFonts w:ascii="宋体" w:hAnsi="宋体" w:cs="宋体"/>
          <w:sz w:val="24"/>
          <w:szCs w:val="24"/>
        </w:rPr>
      </w:pPr>
      <w:r>
        <w:rPr>
          <w:rFonts w:hint="eastAsia" w:ascii="宋体" w:hAnsi="宋体" w:cs="宋体"/>
          <w:sz w:val="24"/>
          <w:szCs w:val="24"/>
        </w:rPr>
        <w:br w:type="page"/>
      </w:r>
    </w:p>
    <w:p>
      <w:pPr>
        <w:spacing w:line="360" w:lineRule="auto"/>
        <w:jc w:val="center"/>
        <w:outlineLvl w:val="0"/>
        <w:rPr>
          <w:rFonts w:ascii="宋体" w:hAnsi="宋体" w:cs="宋体"/>
          <w:b/>
          <w:bCs/>
          <w:sz w:val="24"/>
          <w:szCs w:val="24"/>
        </w:rPr>
      </w:pPr>
      <w:bookmarkStart w:id="5" w:name="_Toc5478"/>
      <w:r>
        <w:rPr>
          <w:rFonts w:hint="eastAsia" w:ascii="宋体" w:hAnsi="宋体" w:cs="宋体"/>
          <w:b/>
          <w:bCs/>
          <w:sz w:val="24"/>
          <w:szCs w:val="24"/>
        </w:rPr>
        <w:t>第四章 投标文件样式</w:t>
      </w:r>
      <w:bookmarkEnd w:id="5"/>
    </w:p>
    <w:p>
      <w:pPr>
        <w:spacing w:line="360" w:lineRule="auto"/>
        <w:jc w:val="center"/>
        <w:rPr>
          <w:rFonts w:ascii="宋体" w:hAnsi="宋体" w:cs="宋体"/>
          <w:b/>
          <w:bCs/>
          <w:sz w:val="24"/>
          <w:szCs w:val="24"/>
        </w:rPr>
      </w:pPr>
    </w:p>
    <w:p>
      <w:pPr>
        <w:spacing w:line="360" w:lineRule="auto"/>
        <w:jc w:val="center"/>
        <w:rPr>
          <w:b/>
          <w:bCs/>
          <w:sz w:val="24"/>
          <w:szCs w:val="24"/>
        </w:rPr>
      </w:pPr>
      <w:r>
        <w:rPr>
          <w:rFonts w:hint="eastAsia"/>
          <w:b/>
          <w:bCs/>
          <w:sz w:val="24"/>
          <w:szCs w:val="24"/>
        </w:rPr>
        <w:t>一 投标文件封面和材料袋格式</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spacing w:line="800" w:lineRule="exact"/>
        <w:rPr>
          <w:rFonts w:ascii="宋体" w:hAnsi="宋体" w:cs="宋体"/>
          <w:b/>
          <w:sz w:val="24"/>
          <w:szCs w:val="24"/>
          <w:u w:val="single"/>
        </w:rPr>
      </w:pPr>
      <w:r>
        <w:rPr>
          <w:rFonts w:hint="eastAsia" w:ascii="宋体" w:hAnsi="宋体" w:cs="宋体"/>
          <w:b/>
          <w:sz w:val="24"/>
          <w:szCs w:val="24"/>
        </w:rPr>
        <w:t>项目名称</w:t>
      </w:r>
    </w:p>
    <w:p>
      <w:pPr>
        <w:spacing w:line="800" w:lineRule="exact"/>
        <w:rPr>
          <w:rFonts w:ascii="宋体" w:hAnsi="宋体" w:cs="宋体"/>
          <w:b/>
          <w:sz w:val="24"/>
          <w:szCs w:val="24"/>
        </w:rPr>
      </w:pPr>
      <w:r>
        <w:rPr>
          <w:rFonts w:hint="eastAsia" w:ascii="宋体" w:hAnsi="宋体" w:cs="宋体"/>
          <w:b/>
          <w:sz w:val="24"/>
          <w:szCs w:val="24"/>
        </w:rPr>
        <w:t>项目编号</w:t>
      </w:r>
    </w:p>
    <w:p>
      <w:pPr>
        <w:spacing w:line="800" w:lineRule="exact"/>
        <w:rPr>
          <w:rFonts w:ascii="宋体" w:hAnsi="宋体" w:cs="宋体"/>
          <w:b/>
          <w:sz w:val="24"/>
          <w:szCs w:val="24"/>
        </w:rPr>
      </w:pPr>
      <w:r>
        <w:rPr>
          <w:rFonts w:hint="eastAsia" w:ascii="宋体" w:hAnsi="宋体" w:cs="宋体"/>
          <w:b/>
          <w:sz w:val="24"/>
          <w:szCs w:val="24"/>
        </w:rPr>
        <w:t>投标商名称</w:t>
      </w:r>
    </w:p>
    <w:p>
      <w:pPr>
        <w:spacing w:line="800" w:lineRule="exact"/>
        <w:rPr>
          <w:rFonts w:ascii="宋体" w:hAnsi="宋体" w:cs="宋体"/>
          <w:b/>
          <w:sz w:val="24"/>
          <w:szCs w:val="24"/>
          <w:u w:val="single"/>
        </w:rPr>
      </w:pPr>
      <w:r>
        <w:rPr>
          <w:rFonts w:hint="eastAsia" w:ascii="宋体" w:hAnsi="宋体" w:cs="宋体"/>
          <w:b/>
          <w:sz w:val="24"/>
          <w:szCs w:val="24"/>
        </w:rPr>
        <w:t>授权委托人姓名</w:t>
      </w:r>
    </w:p>
    <w:p>
      <w:pPr>
        <w:spacing w:line="800" w:lineRule="exact"/>
        <w:rPr>
          <w:rFonts w:ascii="宋体" w:hAnsi="宋体" w:cs="宋体"/>
          <w:b/>
          <w:sz w:val="24"/>
          <w:szCs w:val="24"/>
          <w:u w:val="single"/>
        </w:rPr>
      </w:pPr>
      <w:r>
        <w:rPr>
          <w:rFonts w:hint="eastAsia" w:ascii="宋体" w:hAnsi="宋体" w:cs="宋体"/>
          <w:b/>
          <w:sz w:val="24"/>
          <w:szCs w:val="24"/>
        </w:rPr>
        <w:t>授权委托人联系电话</w:t>
      </w:r>
      <w:r>
        <w:rPr>
          <w:rFonts w:hint="eastAsia" w:ascii="宋体" w:hAnsi="宋体" w:cs="宋体"/>
          <w:b/>
          <w:sz w:val="24"/>
          <w:szCs w:val="24"/>
          <w:u w:val="single"/>
        </w:rPr>
        <w:t>（含固定电话和手机）</w:t>
      </w:r>
    </w:p>
    <w:p>
      <w:pPr>
        <w:spacing w:line="800" w:lineRule="exact"/>
        <w:rPr>
          <w:rFonts w:ascii="宋体" w:hAnsi="宋体" w:cs="宋体"/>
          <w:b/>
          <w:sz w:val="24"/>
          <w:szCs w:val="24"/>
          <w:u w:val="single"/>
        </w:rPr>
      </w:pPr>
      <w:r>
        <w:rPr>
          <w:rFonts w:hint="eastAsia" w:ascii="宋体" w:hAnsi="宋体" w:cs="宋体"/>
          <w:b/>
          <w:sz w:val="24"/>
          <w:szCs w:val="24"/>
        </w:rPr>
        <w:t>投标商传真</w:t>
      </w:r>
    </w:p>
    <w:p>
      <w:pPr>
        <w:spacing w:line="800" w:lineRule="exact"/>
        <w:rPr>
          <w:rFonts w:ascii="宋体" w:hAnsi="宋体" w:cs="宋体"/>
          <w:b/>
          <w:sz w:val="24"/>
          <w:szCs w:val="24"/>
          <w:u w:val="single"/>
        </w:rPr>
      </w:pPr>
      <w:r>
        <w:rPr>
          <w:rFonts w:hint="eastAsia" w:ascii="宋体" w:hAnsi="宋体" w:cs="宋体"/>
          <w:b/>
          <w:sz w:val="24"/>
          <w:szCs w:val="24"/>
        </w:rPr>
        <w:t>投标商地址</w:t>
      </w:r>
    </w:p>
    <w:p>
      <w:pPr>
        <w:spacing w:line="800" w:lineRule="exact"/>
        <w:rPr>
          <w:rFonts w:ascii="宋体" w:hAnsi="宋体" w:cs="宋体"/>
          <w:b/>
          <w:sz w:val="24"/>
          <w:szCs w:val="24"/>
          <w:u w:val="single"/>
        </w:rPr>
      </w:pPr>
      <w:r>
        <w:rPr>
          <w:rFonts w:hint="eastAsia" w:ascii="宋体" w:hAnsi="宋体" w:cs="宋体"/>
          <w:b/>
          <w:sz w:val="24"/>
          <w:szCs w:val="24"/>
        </w:rPr>
        <w:t>投标商电子邮箱</w:t>
      </w:r>
    </w:p>
    <w:p>
      <w:pPr>
        <w:spacing w:line="800" w:lineRule="exact"/>
        <w:rPr>
          <w:rFonts w:ascii="宋体" w:hAnsi="宋体" w:cs="宋体"/>
          <w:b/>
          <w:sz w:val="24"/>
          <w:szCs w:val="24"/>
          <w:u w:val="single"/>
        </w:rPr>
      </w:pPr>
      <w:r>
        <w:rPr>
          <w:rFonts w:hint="eastAsia" w:ascii="宋体" w:hAnsi="宋体" w:cs="宋体"/>
          <w:b/>
          <w:sz w:val="24"/>
          <w:szCs w:val="24"/>
        </w:rPr>
        <w:t>投标商邮编</w:t>
      </w:r>
    </w:p>
    <w:p>
      <w:pPr>
        <w:spacing w:line="800" w:lineRule="exact"/>
        <w:rPr>
          <w:rFonts w:ascii="宋体" w:hAnsi="宋体" w:cs="宋体"/>
          <w:b/>
          <w:sz w:val="24"/>
          <w:szCs w:val="24"/>
          <w:u w:val="single"/>
        </w:rPr>
      </w:pPr>
      <w:r>
        <w:rPr>
          <w:rFonts w:hint="eastAsia" w:ascii="宋体" w:hAnsi="宋体" w:cs="宋体"/>
          <w:b/>
          <w:sz w:val="24"/>
          <w:szCs w:val="24"/>
        </w:rPr>
        <w:t>投标时间</w:t>
      </w:r>
    </w:p>
    <w:p>
      <w:pPr>
        <w:rPr>
          <w:rFonts w:ascii="宋体" w:hAnsi="宋体" w:cs="宋体"/>
          <w:sz w:val="24"/>
          <w:szCs w:val="24"/>
        </w:rPr>
      </w:pPr>
    </w:p>
    <w:p>
      <w:pPr>
        <w:rPr>
          <w:rFonts w:ascii="宋体" w:hAnsi="宋体" w:cs="宋体"/>
          <w:sz w:val="24"/>
          <w:szCs w:val="24"/>
        </w:rPr>
      </w:pPr>
    </w:p>
    <w:p>
      <w:pPr>
        <w:spacing w:line="360" w:lineRule="auto"/>
        <w:jc w:val="center"/>
        <w:rPr>
          <w:rStyle w:val="45"/>
        </w:rPr>
      </w:pPr>
      <w:r>
        <w:rPr>
          <w:rFonts w:hint="eastAsia" w:ascii="宋体" w:hAnsi="宋体" w:cs="宋体"/>
          <w:bCs/>
          <w:sz w:val="24"/>
          <w:szCs w:val="24"/>
        </w:rPr>
        <w:br w:type="page"/>
      </w:r>
      <w:r>
        <w:rPr>
          <w:rFonts w:hint="eastAsia"/>
          <w:b/>
          <w:bCs/>
          <w:sz w:val="24"/>
          <w:szCs w:val="24"/>
        </w:rPr>
        <w:t>二 投标函</w:t>
      </w:r>
    </w:p>
    <w:p>
      <w:pPr>
        <w:pStyle w:val="19"/>
      </w:pPr>
    </w:p>
    <w:p>
      <w:pPr>
        <w:spacing w:line="360" w:lineRule="auto"/>
        <w:rPr>
          <w:rFonts w:ascii="宋体" w:hAnsi="宋体" w:cs="宋体"/>
          <w:sz w:val="24"/>
          <w:szCs w:val="24"/>
        </w:rPr>
      </w:pPr>
      <w:r>
        <w:rPr>
          <w:rFonts w:hint="eastAsia" w:ascii="宋体" w:hAnsi="宋体" w:cs="宋体"/>
          <w:sz w:val="24"/>
          <w:szCs w:val="24"/>
        </w:rPr>
        <w:t>淮阴工学院：</w:t>
      </w:r>
    </w:p>
    <w:p>
      <w:pPr>
        <w:spacing w:line="360" w:lineRule="auto"/>
        <w:ind w:left="1" w:firstLine="564" w:firstLineChars="235"/>
        <w:rPr>
          <w:rFonts w:ascii="宋体" w:hAnsi="宋体" w:cs="宋体"/>
          <w:sz w:val="24"/>
          <w:szCs w:val="24"/>
        </w:rPr>
      </w:pPr>
      <w:r>
        <w:rPr>
          <w:rFonts w:hint="eastAsia" w:ascii="宋体" w:hAnsi="宋体" w:cs="宋体"/>
          <w:sz w:val="24"/>
          <w:szCs w:val="24"/>
        </w:rPr>
        <w:t>我方经仔细阅读研究项目招标文件（项目编号</w:t>
      </w:r>
      <w:r>
        <w:rPr>
          <w:rFonts w:hint="eastAsia" w:ascii="宋体" w:hAnsi="宋体" w:cs="宋体"/>
          <w:sz w:val="24"/>
          <w:szCs w:val="24"/>
          <w:u w:val="single"/>
        </w:rPr>
        <w:t xml:space="preserve">          </w:t>
      </w:r>
      <w:r>
        <w:rPr>
          <w:rFonts w:hint="eastAsia" w:ascii="宋体" w:hAnsi="宋体" w:cs="宋体"/>
          <w:sz w:val="24"/>
          <w:szCs w:val="24"/>
        </w:rPr>
        <w:t>），已完全了解该文件中的所有条款及要求，决定参加投标，同时作出如下承诺：</w:t>
      </w:r>
    </w:p>
    <w:p>
      <w:pPr>
        <w:spacing w:line="360" w:lineRule="auto"/>
        <w:ind w:firstLine="480" w:firstLineChars="200"/>
        <w:rPr>
          <w:rFonts w:ascii="宋体" w:hAnsi="宋体" w:cs="宋体"/>
          <w:sz w:val="24"/>
          <w:szCs w:val="24"/>
        </w:rPr>
      </w:pPr>
      <w:r>
        <w:rPr>
          <w:rFonts w:hint="eastAsia" w:ascii="宋体" w:hAnsi="宋体" w:cs="宋体"/>
          <w:sz w:val="24"/>
          <w:szCs w:val="24"/>
        </w:rPr>
        <w:t>1．我方与本项目及该项目相关人员之间均不存在可能影响招标公正性的任何利害关系。</w:t>
      </w:r>
    </w:p>
    <w:p>
      <w:pPr>
        <w:spacing w:line="360" w:lineRule="auto"/>
        <w:ind w:firstLine="480" w:firstLineChars="200"/>
        <w:rPr>
          <w:rFonts w:ascii="宋体" w:hAnsi="宋体" w:cs="宋体"/>
          <w:sz w:val="24"/>
          <w:szCs w:val="24"/>
        </w:rPr>
      </w:pPr>
      <w:r>
        <w:rPr>
          <w:rFonts w:hint="eastAsia" w:ascii="宋体" w:hAnsi="宋体" w:cs="宋体"/>
          <w:sz w:val="24"/>
          <w:szCs w:val="24"/>
        </w:rPr>
        <w:t>2．我方愿按招标文件的要求提供货物和服务，投标货物及服务的投标总价为：（大写）</w:t>
      </w:r>
      <w:r>
        <w:rPr>
          <w:rFonts w:hint="eastAsia" w:ascii="宋体" w:hAnsi="宋体" w:cs="宋体"/>
          <w:sz w:val="24"/>
          <w:szCs w:val="24"/>
          <w:u w:val="single"/>
        </w:rPr>
        <w:t xml:space="preserve">                 </w:t>
      </w:r>
      <w:r>
        <w:rPr>
          <w:rFonts w:hint="eastAsia" w:ascii="宋体" w:hAnsi="宋体" w:cs="宋体"/>
          <w:sz w:val="24"/>
          <w:szCs w:val="24"/>
        </w:rPr>
        <w:t>，（小写）</w:t>
      </w:r>
      <w:r>
        <w:rPr>
          <w:rFonts w:hint="eastAsia" w:ascii="宋体" w:hAnsi="宋体" w:cs="宋体"/>
          <w:sz w:val="24"/>
          <w:szCs w:val="24"/>
          <w:u w:val="single"/>
        </w:rPr>
        <w:t xml:space="preserve">       </w:t>
      </w:r>
      <w:r>
        <w:rPr>
          <w:rFonts w:hint="eastAsia" w:ascii="宋体" w:hAnsi="宋体" w:cs="宋体"/>
          <w:sz w:val="24"/>
          <w:szCs w:val="24"/>
        </w:rPr>
        <w:t>。该报价包含所有一切费用。</w:t>
      </w:r>
    </w:p>
    <w:p>
      <w:pPr>
        <w:spacing w:line="360" w:lineRule="auto"/>
        <w:ind w:firstLine="480" w:firstLineChars="200"/>
        <w:rPr>
          <w:rFonts w:ascii="宋体" w:hAnsi="宋体" w:cs="宋体"/>
          <w:sz w:val="24"/>
          <w:szCs w:val="24"/>
        </w:rPr>
      </w:pPr>
      <w:r>
        <w:rPr>
          <w:rFonts w:hint="eastAsia" w:ascii="宋体" w:hAnsi="宋体" w:cs="宋体"/>
          <w:sz w:val="24"/>
          <w:szCs w:val="24"/>
        </w:rPr>
        <w:t>3．我方接受招标文件的所有条款、条件和</w:t>
      </w:r>
      <w:r>
        <w:rPr>
          <w:rFonts w:hint="eastAsia" w:ascii="宋体" w:hAnsi="宋体" w:cs="宋体"/>
          <w:bCs/>
          <w:sz w:val="24"/>
          <w:szCs w:val="24"/>
        </w:rPr>
        <w:t>规定</w:t>
      </w:r>
      <w:r>
        <w:rPr>
          <w:rFonts w:hint="eastAsia" w:ascii="宋体" w:hAnsi="宋体" w:cs="宋体"/>
          <w:sz w:val="24"/>
          <w:szCs w:val="24"/>
        </w:rPr>
        <w:t>，</w:t>
      </w:r>
      <w:r>
        <w:rPr>
          <w:rFonts w:hint="eastAsia" w:ascii="宋体" w:hAnsi="宋体" w:cs="宋体"/>
          <w:bCs/>
          <w:sz w:val="24"/>
          <w:szCs w:val="24"/>
        </w:rPr>
        <w:t>放弃对招标文件提出质疑的权利。</w:t>
      </w:r>
    </w:p>
    <w:p>
      <w:pPr>
        <w:spacing w:line="360" w:lineRule="auto"/>
        <w:ind w:firstLine="480" w:firstLineChars="200"/>
        <w:rPr>
          <w:rFonts w:ascii="宋体" w:hAnsi="宋体" w:cs="宋体"/>
          <w:sz w:val="24"/>
          <w:szCs w:val="24"/>
        </w:rPr>
      </w:pPr>
      <w:r>
        <w:rPr>
          <w:rFonts w:hint="eastAsia" w:ascii="宋体" w:hAnsi="宋体" w:cs="宋体"/>
          <w:sz w:val="24"/>
          <w:szCs w:val="24"/>
        </w:rPr>
        <w:t>4．我方同意按照招标文件的要求提供所有资料、数据或信息，并保证所提供资料的真实性和投标行为的合法性。如有作假或违纪，同意接受“取消投标资格、取消中标资格、没收履约保证金、2年内禁止参加淮阴工学院的采购活动”等处罚。</w:t>
      </w:r>
    </w:p>
    <w:p>
      <w:pPr>
        <w:spacing w:line="360" w:lineRule="auto"/>
        <w:ind w:firstLine="480" w:firstLineChars="200"/>
        <w:rPr>
          <w:rFonts w:ascii="宋体" w:hAnsi="宋体" w:cs="宋体"/>
          <w:sz w:val="24"/>
          <w:szCs w:val="24"/>
        </w:rPr>
      </w:pPr>
      <w:r>
        <w:rPr>
          <w:rFonts w:hint="eastAsia" w:ascii="宋体" w:hAnsi="宋体" w:cs="宋体"/>
          <w:sz w:val="24"/>
          <w:szCs w:val="24"/>
        </w:rPr>
        <w:t>5．我方</w:t>
      </w:r>
      <w:r>
        <w:rPr>
          <w:rFonts w:hint="eastAsia" w:ascii="宋体" w:hAnsi="宋体" w:cs="宋体"/>
          <w:bCs/>
          <w:sz w:val="24"/>
          <w:szCs w:val="24"/>
        </w:rPr>
        <w:t>认可</w:t>
      </w:r>
      <w:r>
        <w:rPr>
          <w:rFonts w:hint="eastAsia" w:ascii="宋体" w:hAnsi="宋体" w:cs="宋体"/>
          <w:sz w:val="24"/>
          <w:szCs w:val="24"/>
        </w:rPr>
        <w:t>贵方有权决定中标人或否决所有投标，并理解最低报价只是中标的重要条件，贵方没有义务必须接受最低报价的投标。</w:t>
      </w:r>
    </w:p>
    <w:p>
      <w:pPr>
        <w:spacing w:line="360" w:lineRule="auto"/>
        <w:ind w:firstLine="480" w:firstLineChars="200"/>
        <w:rPr>
          <w:rFonts w:ascii="宋体" w:hAnsi="宋体" w:cs="宋体"/>
          <w:sz w:val="24"/>
          <w:szCs w:val="24"/>
        </w:rPr>
      </w:pPr>
      <w:r>
        <w:rPr>
          <w:rFonts w:hint="eastAsia" w:ascii="宋体" w:hAnsi="宋体" w:cs="宋体"/>
          <w:sz w:val="24"/>
          <w:szCs w:val="24"/>
        </w:rPr>
        <w:t>6．我方如中标，将保证遵守招标文件对供应商的所有要求和规定，履行自己在投标文件中承诺的全部责任和义务。</w:t>
      </w:r>
    </w:p>
    <w:p>
      <w:pPr>
        <w:spacing w:line="360" w:lineRule="auto"/>
        <w:ind w:firstLine="480" w:firstLineChars="200"/>
        <w:rPr>
          <w:rFonts w:ascii="宋体" w:hAnsi="宋体" w:cs="宋体"/>
          <w:sz w:val="24"/>
          <w:szCs w:val="24"/>
        </w:rPr>
      </w:pPr>
      <w:r>
        <w:rPr>
          <w:rFonts w:hint="eastAsia" w:ascii="宋体" w:hAnsi="宋体" w:cs="宋体"/>
          <w:sz w:val="24"/>
          <w:szCs w:val="24"/>
        </w:rPr>
        <w:t>7．本投标文件的有效期为投标截止日后90天内，如我方中标，有效期将延至合同有效期终止日为止。</w:t>
      </w:r>
    </w:p>
    <w:p>
      <w:pPr>
        <w:spacing w:line="360" w:lineRule="auto"/>
        <w:ind w:firstLine="480" w:firstLineChars="200"/>
        <w:rPr>
          <w:rFonts w:ascii="宋体" w:hAnsi="宋体" w:cs="宋体"/>
          <w:sz w:val="24"/>
          <w:szCs w:val="24"/>
        </w:rPr>
      </w:pPr>
      <w:r>
        <w:rPr>
          <w:rFonts w:hint="eastAsia" w:ascii="宋体" w:hAnsi="宋体" w:cs="宋体"/>
          <w:sz w:val="24"/>
          <w:szCs w:val="24"/>
        </w:rPr>
        <w:t>8．与本次招投标有关的事宜请按以下信息联系：</w:t>
      </w:r>
    </w:p>
    <w:p>
      <w:pPr>
        <w:spacing w:line="360" w:lineRule="auto"/>
        <w:ind w:firstLine="480" w:firstLineChars="200"/>
        <w:rPr>
          <w:rFonts w:ascii="宋体" w:hAnsi="宋体" w:cs="宋体"/>
          <w:sz w:val="24"/>
          <w:szCs w:val="24"/>
        </w:rPr>
      </w:pPr>
      <w:r>
        <w:rPr>
          <w:rFonts w:hint="eastAsia" w:ascii="宋体" w:hAnsi="宋体" w:cs="宋体"/>
          <w:sz w:val="24"/>
          <w:szCs w:val="24"/>
        </w:rPr>
        <w:t>供应商名称：      （公章）</w:t>
      </w:r>
    </w:p>
    <w:p>
      <w:pPr>
        <w:spacing w:line="360" w:lineRule="auto"/>
        <w:ind w:firstLine="480" w:firstLineChars="200"/>
        <w:rPr>
          <w:rFonts w:ascii="宋体" w:hAnsi="宋体" w:cs="宋体"/>
          <w:sz w:val="24"/>
          <w:szCs w:val="24"/>
        </w:rPr>
      </w:pPr>
      <w:r>
        <w:rPr>
          <w:rFonts w:hint="eastAsia" w:ascii="宋体" w:hAnsi="宋体" w:cs="宋体"/>
          <w:sz w:val="24"/>
          <w:szCs w:val="24"/>
        </w:rPr>
        <w:t>地址：                             邮政编码：</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 xml:space="preserve">电话：                             </w:t>
      </w:r>
    </w:p>
    <w:p>
      <w:pPr>
        <w:spacing w:line="360" w:lineRule="auto"/>
        <w:ind w:left="478" w:leftChars="228"/>
        <w:rPr>
          <w:rFonts w:ascii="宋体" w:hAnsi="宋体" w:cs="宋体"/>
          <w:sz w:val="24"/>
          <w:szCs w:val="24"/>
          <w:u w:val="single"/>
        </w:rPr>
      </w:pPr>
      <w:r>
        <w:rPr>
          <w:rFonts w:hint="eastAsia" w:ascii="宋体" w:hAnsi="宋体" w:cs="宋体"/>
          <w:sz w:val="24"/>
          <w:szCs w:val="24"/>
        </w:rPr>
        <w:t>授权委托人（签名）：                电话（手机）</w:t>
      </w:r>
    </w:p>
    <w:p>
      <w:pPr>
        <w:spacing w:line="360" w:lineRule="auto"/>
        <w:ind w:left="478" w:leftChars="228"/>
        <w:rPr>
          <w:rFonts w:ascii="宋体" w:hAnsi="宋体" w:cs="宋体"/>
          <w:sz w:val="24"/>
          <w:szCs w:val="24"/>
        </w:rPr>
      </w:pPr>
      <w:r>
        <w:rPr>
          <w:rFonts w:hint="eastAsia" w:ascii="宋体" w:hAnsi="宋体" w:cs="宋体"/>
          <w:sz w:val="24"/>
          <w:szCs w:val="24"/>
        </w:rPr>
        <w:t>联系电子邮箱：</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投标日期：</w:t>
      </w:r>
      <w:bookmarkStart w:id="6" w:name="OLE_LINK1"/>
      <w:bookmarkStart w:id="7" w:name="OLE_LINK2"/>
    </w:p>
    <w:p>
      <w:pPr>
        <w:jc w:val="left"/>
        <w:rPr>
          <w:rFonts w:ascii="宋体" w:hAnsi="宋体" w:cs="宋体"/>
          <w:bCs/>
          <w:sz w:val="24"/>
          <w:szCs w:val="24"/>
        </w:rPr>
      </w:pPr>
    </w:p>
    <w:bookmarkEnd w:id="6"/>
    <w:bookmarkEnd w:id="7"/>
    <w:p>
      <w:pPr>
        <w:spacing w:line="440" w:lineRule="exact"/>
        <w:jc w:val="center"/>
        <w:rPr>
          <w:rFonts w:ascii="宋体" w:hAnsi="宋体" w:cs="宋体"/>
          <w:sz w:val="24"/>
          <w:szCs w:val="24"/>
        </w:rPr>
      </w:pPr>
      <w:r>
        <w:rPr>
          <w:rFonts w:hint="eastAsia" w:ascii="宋体" w:hAnsi="宋体" w:cs="宋体"/>
          <w:bCs/>
          <w:sz w:val="24"/>
          <w:szCs w:val="24"/>
        </w:rPr>
        <w:br w:type="page"/>
      </w:r>
      <w:r>
        <w:rPr>
          <w:rFonts w:hint="eastAsia" w:ascii="宋体" w:hAnsi="宋体" w:cs="宋体"/>
          <w:b/>
          <w:bCs/>
          <w:sz w:val="24"/>
          <w:szCs w:val="24"/>
        </w:rPr>
        <w:t>三 报价明细表</w:t>
      </w:r>
    </w:p>
    <w:p>
      <w:pPr>
        <w:spacing w:line="520" w:lineRule="exact"/>
        <w:ind w:right="-247" w:rightChars="-118" w:firstLine="5368" w:firstLineChars="2097"/>
        <w:jc w:val="right"/>
        <w:rPr>
          <w:rFonts w:ascii="宋体" w:hAnsi="宋体" w:cs="宋体"/>
          <w:sz w:val="24"/>
          <w:szCs w:val="24"/>
        </w:rPr>
      </w:pPr>
      <w:r>
        <w:rPr>
          <w:rFonts w:hint="eastAsia" w:ascii="宋体" w:hAnsi="宋体" w:cs="宋体"/>
          <w:spacing w:val="20"/>
          <w:w w:val="90"/>
          <w:sz w:val="24"/>
          <w:szCs w:val="24"/>
        </w:rPr>
        <w:t>单位：人民币/元</w:t>
      </w:r>
    </w:p>
    <w:tbl>
      <w:tblPr>
        <w:tblStyle w:val="20"/>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556"/>
        <w:gridCol w:w="3055"/>
        <w:gridCol w:w="1377"/>
        <w:gridCol w:w="98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04" w:type="dxa"/>
            <w:vAlign w:val="center"/>
          </w:tcPr>
          <w:p>
            <w:pPr>
              <w:spacing w:line="340" w:lineRule="exact"/>
              <w:rPr>
                <w:rFonts w:ascii="宋体" w:hAnsi="宋体" w:cs="宋体"/>
                <w:sz w:val="24"/>
                <w:szCs w:val="24"/>
              </w:rPr>
            </w:pPr>
            <w:r>
              <w:rPr>
                <w:rFonts w:hint="eastAsia" w:ascii="宋体" w:hAnsi="宋体" w:cs="宋体"/>
                <w:sz w:val="24"/>
                <w:szCs w:val="24"/>
              </w:rPr>
              <w:t>序号</w:t>
            </w:r>
          </w:p>
        </w:tc>
        <w:tc>
          <w:tcPr>
            <w:tcW w:w="2556" w:type="dxa"/>
            <w:vAlign w:val="center"/>
          </w:tcPr>
          <w:p>
            <w:pPr>
              <w:spacing w:line="340" w:lineRule="exact"/>
              <w:jc w:val="center"/>
              <w:rPr>
                <w:rFonts w:ascii="宋体" w:hAnsi="宋体" w:cs="宋体"/>
                <w:sz w:val="24"/>
                <w:szCs w:val="24"/>
              </w:rPr>
            </w:pPr>
            <w:r>
              <w:rPr>
                <w:rFonts w:hint="eastAsia" w:ascii="宋体" w:hAnsi="宋体" w:cs="宋体"/>
                <w:sz w:val="24"/>
                <w:szCs w:val="24"/>
              </w:rPr>
              <w:t>货物名称</w:t>
            </w:r>
          </w:p>
        </w:tc>
        <w:tc>
          <w:tcPr>
            <w:tcW w:w="3055" w:type="dxa"/>
            <w:vAlign w:val="center"/>
          </w:tcPr>
          <w:p>
            <w:pPr>
              <w:spacing w:line="340" w:lineRule="exact"/>
              <w:jc w:val="center"/>
              <w:rPr>
                <w:rFonts w:ascii="宋体" w:hAnsi="宋体" w:cs="宋体"/>
                <w:sz w:val="24"/>
                <w:szCs w:val="24"/>
              </w:rPr>
            </w:pPr>
            <w:r>
              <w:rPr>
                <w:rFonts w:hint="eastAsia" w:ascii="宋体" w:hAnsi="宋体" w:cs="宋体"/>
                <w:sz w:val="24"/>
                <w:szCs w:val="24"/>
              </w:rPr>
              <w:t>品牌、规格型号、原产地、生产商、质保期</w:t>
            </w:r>
          </w:p>
        </w:tc>
        <w:tc>
          <w:tcPr>
            <w:tcW w:w="1377" w:type="dxa"/>
            <w:vAlign w:val="center"/>
          </w:tcPr>
          <w:p>
            <w:pPr>
              <w:spacing w:line="340" w:lineRule="exact"/>
              <w:ind w:left="120" w:hanging="120" w:hangingChars="50"/>
              <w:rPr>
                <w:rFonts w:ascii="宋体" w:hAnsi="宋体" w:cs="宋体"/>
                <w:sz w:val="24"/>
                <w:szCs w:val="24"/>
              </w:rPr>
            </w:pPr>
            <w:r>
              <w:rPr>
                <w:rFonts w:hint="eastAsia" w:ascii="宋体" w:hAnsi="宋体" w:cs="宋体"/>
                <w:sz w:val="24"/>
                <w:szCs w:val="24"/>
              </w:rPr>
              <w:t>单价（元）</w:t>
            </w:r>
          </w:p>
        </w:tc>
        <w:tc>
          <w:tcPr>
            <w:tcW w:w="983" w:type="dxa"/>
            <w:vAlign w:val="center"/>
          </w:tcPr>
          <w:p>
            <w:pPr>
              <w:spacing w:line="340" w:lineRule="exact"/>
              <w:ind w:firstLine="120" w:firstLineChars="50"/>
              <w:rPr>
                <w:rFonts w:ascii="宋体" w:hAnsi="宋体" w:cs="宋体"/>
                <w:sz w:val="24"/>
                <w:szCs w:val="24"/>
              </w:rPr>
            </w:pPr>
            <w:r>
              <w:rPr>
                <w:rFonts w:hint="eastAsia" w:ascii="宋体" w:hAnsi="宋体" w:cs="宋体"/>
                <w:sz w:val="24"/>
                <w:szCs w:val="24"/>
              </w:rPr>
              <w:t>数量</w:t>
            </w:r>
          </w:p>
        </w:tc>
        <w:tc>
          <w:tcPr>
            <w:tcW w:w="983" w:type="dxa"/>
            <w:vAlign w:val="center"/>
          </w:tcPr>
          <w:p>
            <w:pPr>
              <w:spacing w:line="340" w:lineRule="exact"/>
              <w:jc w:val="center"/>
              <w:rPr>
                <w:rFonts w:ascii="宋体" w:hAnsi="宋体" w:cs="宋体"/>
                <w:sz w:val="24"/>
                <w:szCs w:val="24"/>
              </w:rPr>
            </w:pPr>
            <w:r>
              <w:rPr>
                <w:rFonts w:hint="eastAsia" w:ascii="宋体" w:hAnsi="宋体" w:cs="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04" w:type="dxa"/>
            <w:vAlign w:val="center"/>
          </w:tcPr>
          <w:p>
            <w:pPr>
              <w:spacing w:line="340" w:lineRule="exact"/>
              <w:jc w:val="center"/>
              <w:rPr>
                <w:rFonts w:ascii="宋体" w:hAnsi="宋体" w:cs="宋体"/>
                <w:sz w:val="24"/>
                <w:szCs w:val="24"/>
              </w:rPr>
            </w:pPr>
          </w:p>
        </w:tc>
        <w:tc>
          <w:tcPr>
            <w:tcW w:w="2556" w:type="dxa"/>
            <w:vAlign w:val="center"/>
          </w:tcPr>
          <w:p>
            <w:pPr>
              <w:spacing w:line="340" w:lineRule="exact"/>
              <w:jc w:val="center"/>
              <w:rPr>
                <w:rFonts w:ascii="宋体" w:hAnsi="宋体" w:cs="宋体"/>
                <w:sz w:val="24"/>
                <w:szCs w:val="24"/>
              </w:rPr>
            </w:pPr>
          </w:p>
        </w:tc>
        <w:tc>
          <w:tcPr>
            <w:tcW w:w="3055" w:type="dxa"/>
            <w:vAlign w:val="center"/>
          </w:tcPr>
          <w:p>
            <w:pPr>
              <w:spacing w:line="340" w:lineRule="exact"/>
              <w:jc w:val="center"/>
              <w:rPr>
                <w:rFonts w:ascii="宋体" w:hAnsi="宋体" w:cs="宋体"/>
                <w:sz w:val="24"/>
                <w:szCs w:val="24"/>
              </w:rPr>
            </w:pPr>
          </w:p>
        </w:tc>
        <w:tc>
          <w:tcPr>
            <w:tcW w:w="1377" w:type="dxa"/>
            <w:vAlign w:val="center"/>
          </w:tcPr>
          <w:p>
            <w:pPr>
              <w:spacing w:line="340" w:lineRule="exact"/>
              <w:jc w:val="center"/>
              <w:rPr>
                <w:rFonts w:ascii="宋体" w:hAnsi="宋体" w:cs="宋体"/>
                <w:sz w:val="24"/>
                <w:szCs w:val="24"/>
              </w:rPr>
            </w:pPr>
          </w:p>
        </w:tc>
        <w:tc>
          <w:tcPr>
            <w:tcW w:w="983" w:type="dxa"/>
            <w:vAlign w:val="center"/>
          </w:tcPr>
          <w:p>
            <w:pPr>
              <w:spacing w:line="340" w:lineRule="exact"/>
              <w:jc w:val="center"/>
              <w:rPr>
                <w:rFonts w:ascii="宋体" w:hAnsi="宋体" w:cs="宋体"/>
                <w:sz w:val="24"/>
                <w:szCs w:val="24"/>
              </w:rPr>
            </w:pPr>
          </w:p>
        </w:tc>
        <w:tc>
          <w:tcPr>
            <w:tcW w:w="983" w:type="dxa"/>
            <w:vAlign w:val="center"/>
          </w:tcPr>
          <w:p>
            <w:pPr>
              <w:spacing w:line="34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758" w:type="dxa"/>
            <w:gridSpan w:val="6"/>
            <w:vAlign w:val="center"/>
          </w:tcPr>
          <w:p>
            <w:pPr>
              <w:spacing w:line="340" w:lineRule="exact"/>
              <w:rPr>
                <w:rFonts w:ascii="宋体" w:hAnsi="宋体" w:cs="宋体"/>
                <w:sz w:val="24"/>
                <w:szCs w:val="24"/>
              </w:rPr>
            </w:pPr>
            <w:r>
              <w:rPr>
                <w:rFonts w:hint="eastAsia" w:ascii="宋体" w:hAnsi="宋体" w:cs="宋体"/>
                <w:sz w:val="24"/>
                <w:szCs w:val="24"/>
              </w:rPr>
              <w:t>投标总报价（人民币大写）：                   元（￥         ）</w:t>
            </w:r>
          </w:p>
        </w:tc>
      </w:tr>
    </w:tbl>
    <w:p>
      <w:pPr>
        <w:spacing w:line="520" w:lineRule="exact"/>
        <w:rPr>
          <w:rFonts w:ascii="宋体" w:hAnsi="宋体" w:cs="宋体"/>
          <w:sz w:val="24"/>
          <w:szCs w:val="24"/>
        </w:rPr>
      </w:pPr>
      <w:r>
        <w:rPr>
          <w:rFonts w:hint="eastAsia" w:ascii="宋体" w:hAnsi="宋体" w:cs="宋体"/>
          <w:sz w:val="24"/>
          <w:szCs w:val="24"/>
        </w:rPr>
        <w:t>备注：如包含附件、辅材，必须列明所需附件、辅材具体种类、数量。</w:t>
      </w:r>
    </w:p>
    <w:p>
      <w:pPr>
        <w:spacing w:line="520" w:lineRule="exact"/>
        <w:rPr>
          <w:rFonts w:ascii="宋体" w:hAnsi="宋体" w:cs="宋体"/>
          <w:sz w:val="24"/>
          <w:szCs w:val="24"/>
        </w:rPr>
      </w:pPr>
      <w:r>
        <w:rPr>
          <w:rFonts w:hint="eastAsia" w:ascii="宋体" w:hAnsi="宋体" w:cs="宋体"/>
          <w:sz w:val="24"/>
          <w:szCs w:val="24"/>
        </w:rPr>
        <w:t>投标人（加盖公章）：</w:t>
      </w:r>
    </w:p>
    <w:p>
      <w:pPr>
        <w:spacing w:line="520" w:lineRule="exact"/>
        <w:rPr>
          <w:rFonts w:ascii="宋体" w:hAnsi="宋体" w:cs="宋体"/>
          <w:sz w:val="24"/>
          <w:szCs w:val="24"/>
        </w:rPr>
      </w:pPr>
    </w:p>
    <w:p>
      <w:pPr>
        <w:spacing w:line="520" w:lineRule="exact"/>
        <w:rPr>
          <w:rFonts w:ascii="宋体" w:hAnsi="宋体" w:cs="宋体"/>
          <w:w w:val="90"/>
          <w:sz w:val="24"/>
          <w:szCs w:val="24"/>
          <w:u w:val="single"/>
        </w:rPr>
      </w:pPr>
      <w:r>
        <w:rPr>
          <w:rFonts w:hint="eastAsia" w:ascii="宋体" w:hAnsi="宋体" w:cs="宋体"/>
          <w:sz w:val="24"/>
          <w:szCs w:val="24"/>
        </w:rPr>
        <w:t>法定代表人或其授权委托人（签章）：</w:t>
      </w:r>
    </w:p>
    <w:p>
      <w:pPr>
        <w:snapToGrid w:val="0"/>
        <w:spacing w:line="560" w:lineRule="exact"/>
        <w:jc w:val="left"/>
        <w:rPr>
          <w:rFonts w:ascii="宋体" w:hAnsi="宋体" w:cs="宋体"/>
          <w:sz w:val="24"/>
          <w:szCs w:val="24"/>
        </w:rPr>
      </w:pPr>
      <w:r>
        <w:rPr>
          <w:rFonts w:hint="eastAsia" w:ascii="宋体" w:hAnsi="宋体" w:cs="宋体"/>
          <w:sz w:val="24"/>
          <w:szCs w:val="24"/>
        </w:rPr>
        <w:t>日期：    年  月  日</w:t>
      </w:r>
    </w:p>
    <w:p>
      <w:pPr>
        <w:rPr>
          <w:rFonts w:ascii="宋体" w:hAnsi="宋体" w:cs="宋体"/>
          <w:b/>
          <w:sz w:val="24"/>
          <w:szCs w:val="24"/>
        </w:rPr>
      </w:pPr>
    </w:p>
    <w:p>
      <w:pPr>
        <w:spacing w:line="340" w:lineRule="exact"/>
        <w:rPr>
          <w:rFonts w:ascii="宋体" w:hAnsi="宋体" w:cs="宋体"/>
          <w:b/>
          <w:bCs/>
          <w:sz w:val="24"/>
          <w:szCs w:val="24"/>
        </w:rPr>
      </w:pPr>
      <w:r>
        <w:rPr>
          <w:rFonts w:hint="eastAsia" w:ascii="宋体" w:hAnsi="宋体" w:cs="宋体"/>
          <w:b/>
          <w:bCs/>
          <w:sz w:val="24"/>
          <w:szCs w:val="24"/>
        </w:rPr>
        <w:t>注：</w:t>
      </w:r>
    </w:p>
    <w:p>
      <w:pPr>
        <w:spacing w:line="440" w:lineRule="exact"/>
        <w:rPr>
          <w:rFonts w:ascii="宋体" w:hAnsi="宋体" w:cs="宋体"/>
          <w:sz w:val="24"/>
          <w:szCs w:val="24"/>
        </w:rPr>
      </w:pPr>
      <w:r>
        <w:rPr>
          <w:rFonts w:hint="eastAsia" w:ascii="宋体" w:hAnsi="宋体" w:cs="宋体"/>
          <w:sz w:val="24"/>
          <w:szCs w:val="24"/>
        </w:rPr>
        <w:t>1.所有价格用人民币报价。</w:t>
      </w:r>
    </w:p>
    <w:p>
      <w:pPr>
        <w:spacing w:line="440" w:lineRule="exact"/>
        <w:rPr>
          <w:rFonts w:ascii="宋体" w:hAnsi="宋体" w:cs="宋体"/>
          <w:sz w:val="24"/>
          <w:szCs w:val="24"/>
        </w:rPr>
      </w:pPr>
      <w:r>
        <w:rPr>
          <w:rFonts w:hint="eastAsia" w:ascii="宋体" w:hAnsi="宋体" w:cs="宋体"/>
          <w:sz w:val="24"/>
          <w:szCs w:val="24"/>
        </w:rPr>
        <w:t>2.投标报价为与采购项目有关的全部费用之和，以后不得追加任何费用。</w:t>
      </w:r>
    </w:p>
    <w:p>
      <w:pPr>
        <w:spacing w:line="440" w:lineRule="exact"/>
        <w:rPr>
          <w:rFonts w:ascii="宋体" w:hAnsi="宋体" w:cs="宋体"/>
          <w:sz w:val="24"/>
          <w:szCs w:val="24"/>
        </w:rPr>
      </w:pPr>
      <w:r>
        <w:rPr>
          <w:rFonts w:hint="eastAsia" w:ascii="宋体" w:hAnsi="宋体" w:cs="宋体"/>
          <w:sz w:val="24"/>
          <w:szCs w:val="24"/>
        </w:rPr>
        <w:t>3.如果单价和总价不符时，以单价为准；大小写金额不一致，以大写为准。</w:t>
      </w:r>
    </w:p>
    <w:p>
      <w:pPr>
        <w:spacing w:line="440" w:lineRule="exact"/>
        <w:rPr>
          <w:rFonts w:ascii="宋体" w:hAnsi="宋体" w:cs="宋体"/>
          <w:sz w:val="24"/>
          <w:szCs w:val="24"/>
        </w:rPr>
      </w:pPr>
    </w:p>
    <w:p>
      <w:pPr>
        <w:spacing w:line="660" w:lineRule="exact"/>
        <w:jc w:val="left"/>
        <w:rPr>
          <w:rFonts w:ascii="宋体" w:hAnsi="宋体" w:cs="宋体"/>
          <w:bCs/>
          <w:sz w:val="24"/>
          <w:szCs w:val="24"/>
        </w:rPr>
      </w:pPr>
    </w:p>
    <w:p>
      <w:pPr>
        <w:spacing w:line="660" w:lineRule="exact"/>
        <w:jc w:val="left"/>
        <w:rPr>
          <w:rFonts w:ascii="宋体" w:hAnsi="宋体" w:cs="宋体"/>
          <w:bCs/>
          <w:sz w:val="24"/>
          <w:szCs w:val="24"/>
        </w:rPr>
      </w:pPr>
    </w:p>
    <w:p>
      <w:pPr>
        <w:jc w:val="center"/>
        <w:rPr>
          <w:rFonts w:ascii="宋体" w:hAnsi="宋体" w:cs="宋体"/>
          <w:bCs/>
          <w:sz w:val="24"/>
          <w:szCs w:val="24"/>
        </w:rPr>
      </w:pPr>
      <w:r>
        <w:rPr>
          <w:rFonts w:hint="eastAsia" w:ascii="宋体" w:hAnsi="宋体" w:cs="宋体"/>
          <w:sz w:val="24"/>
          <w:szCs w:val="24"/>
        </w:rPr>
        <w:br w:type="page"/>
      </w:r>
      <w:r>
        <w:rPr>
          <w:rFonts w:hint="eastAsia" w:ascii="宋体" w:hAnsi="宋体" w:cs="宋体"/>
          <w:b/>
          <w:bCs/>
          <w:sz w:val="24"/>
          <w:szCs w:val="24"/>
        </w:rPr>
        <w:t>四 资质证明材料</w:t>
      </w:r>
    </w:p>
    <w:p>
      <w:pPr>
        <w:shd w:val="clear" w:color="auto" w:fill="FFFFFF"/>
        <w:spacing w:line="440" w:lineRule="exact"/>
        <w:ind w:firstLine="440"/>
        <w:rPr>
          <w:rFonts w:ascii="宋体" w:hAnsi="宋体" w:cs="宋体"/>
          <w:sz w:val="24"/>
          <w:szCs w:val="24"/>
        </w:rPr>
      </w:pPr>
      <w:r>
        <w:rPr>
          <w:rFonts w:hint="eastAsia" w:ascii="宋体" w:hAnsi="宋体" w:cs="宋体"/>
          <w:sz w:val="24"/>
          <w:szCs w:val="24"/>
        </w:rPr>
        <w:t>1.法定代表人投标，提供法定代表人资格证明（原件，加盖投标人公章）和法定代表人身份证（复印件并加盖投标人公章，原件带至投标现场备查）；授权委托人投标，提供法定代表人授权委托书（原件，加盖投标人公章）、法定代表人身份证（复印件并加盖投标人公章）和授权委托人身份证（复印件并加盖投标人公章，原件带至投标现场备查）。格式见本章。</w:t>
      </w:r>
    </w:p>
    <w:p>
      <w:pPr>
        <w:shd w:val="clear" w:color="auto" w:fill="FFFFFF"/>
        <w:spacing w:line="440" w:lineRule="exact"/>
        <w:ind w:firstLine="440"/>
        <w:rPr>
          <w:rFonts w:ascii="宋体" w:hAnsi="宋体" w:cs="宋体"/>
          <w:sz w:val="24"/>
          <w:szCs w:val="24"/>
        </w:rPr>
      </w:pPr>
      <w:r>
        <w:rPr>
          <w:rFonts w:hint="eastAsia" w:ascii="宋体" w:hAnsi="宋体" w:cs="宋体"/>
          <w:sz w:val="24"/>
          <w:szCs w:val="24"/>
        </w:rPr>
        <w:t>2.营业执照（复印件并加盖投标人公章）。</w:t>
      </w:r>
    </w:p>
    <w:p>
      <w:pPr>
        <w:shd w:val="clear" w:color="auto" w:fill="FFFFFF"/>
        <w:spacing w:line="440" w:lineRule="exact"/>
        <w:ind w:firstLine="440"/>
        <w:rPr>
          <w:rFonts w:ascii="宋体" w:hAnsi="宋体" w:cs="宋体"/>
          <w:sz w:val="24"/>
          <w:szCs w:val="24"/>
        </w:rPr>
      </w:pPr>
      <w:r>
        <w:rPr>
          <w:rFonts w:hint="eastAsia" w:ascii="宋体" w:hAnsi="宋体" w:cs="宋体"/>
          <w:sz w:val="24"/>
          <w:szCs w:val="24"/>
        </w:rPr>
        <w:t>3.提供“符合《中华人民共和国政府采购法》第二十二条的规定”、“具有良好的经营行为和经营业绩，近三年在招投标活动中无不良记录”、“具备履行合同所必需的设备和专业技术能力”、“供应商单位负责人不是同一人或者存在直接控股、管理关系的不同供应商”、</w:t>
      </w:r>
      <w:r>
        <w:rPr>
          <w:rFonts w:hint="eastAsia" w:ascii="宋体" w:hAnsi="宋体" w:cs="宋体"/>
          <w:kern w:val="2"/>
          <w:sz w:val="24"/>
          <w:szCs w:val="24"/>
        </w:rPr>
        <w:t>“不是采购项目提供整体设计、规范编制或者项目管理、监理、检测等服务的供应商”、</w:t>
      </w:r>
      <w:r>
        <w:rPr>
          <w:rFonts w:hint="eastAsia" w:ascii="宋体" w:hAnsi="宋体" w:cs="宋体"/>
          <w:sz w:val="24"/>
          <w:szCs w:val="24"/>
        </w:rPr>
        <w:t>“</w:t>
      </w:r>
      <w:r>
        <w:rPr>
          <w:rFonts w:hint="eastAsia" w:ascii="宋体" w:hAnsi="宋体" w:cs="宋体"/>
          <w:spacing w:val="15"/>
          <w:sz w:val="24"/>
          <w:szCs w:val="24"/>
        </w:rPr>
        <w:t>近三年内（本项目招标截止期前）投标人未被“信用中国”网站（</w:t>
      </w:r>
      <w:r>
        <w:fldChar w:fldCharType="begin"/>
      </w:r>
      <w:r>
        <w:instrText xml:space="preserve"> HYPERLINK "http://www.creditchina.gov.cn" </w:instrText>
      </w:r>
      <w:r>
        <w:fldChar w:fldCharType="separate"/>
      </w:r>
      <w:r>
        <w:rPr>
          <w:rFonts w:hint="eastAsia" w:ascii="宋体" w:hAnsi="宋体" w:cs="宋体"/>
          <w:spacing w:val="15"/>
          <w:sz w:val="24"/>
          <w:szCs w:val="24"/>
        </w:rPr>
        <w:t>www.creditchina.gov.cn</w:t>
      </w:r>
      <w:r>
        <w:rPr>
          <w:rFonts w:hint="eastAsia" w:ascii="宋体" w:hAnsi="宋体" w:cs="宋体"/>
          <w:spacing w:val="15"/>
          <w:sz w:val="24"/>
          <w:szCs w:val="24"/>
        </w:rPr>
        <w:fldChar w:fldCharType="end"/>
      </w:r>
      <w:r>
        <w:rPr>
          <w:rFonts w:hint="eastAsia" w:ascii="宋体" w:hAnsi="宋体" w:cs="宋体"/>
          <w:spacing w:val="15"/>
          <w:sz w:val="24"/>
          <w:szCs w:val="24"/>
        </w:rPr>
        <w:t>）列入失信被执行人和重大税收违法失信主体名单、未被“中国政府采购网”网站（</w:t>
      </w:r>
      <w:r>
        <w:fldChar w:fldCharType="begin"/>
      </w:r>
      <w:r>
        <w:instrText xml:space="preserve"> HYPERLINK "http://www.ccgp.gov.cn" </w:instrText>
      </w:r>
      <w:r>
        <w:fldChar w:fldCharType="separate"/>
      </w:r>
      <w:r>
        <w:rPr>
          <w:rFonts w:hint="eastAsia" w:ascii="宋体" w:hAnsi="宋体" w:cs="宋体"/>
          <w:spacing w:val="15"/>
          <w:sz w:val="24"/>
          <w:szCs w:val="24"/>
        </w:rPr>
        <w:t>www.ccgp.gov.cn</w:t>
      </w:r>
      <w:r>
        <w:rPr>
          <w:rFonts w:hint="eastAsia" w:ascii="宋体" w:hAnsi="宋体" w:cs="宋体"/>
          <w:spacing w:val="15"/>
          <w:sz w:val="24"/>
          <w:szCs w:val="24"/>
        </w:rPr>
        <w:fldChar w:fldCharType="end"/>
      </w:r>
      <w:r>
        <w:rPr>
          <w:rFonts w:hint="eastAsia" w:ascii="宋体" w:hAnsi="宋体" w:cs="宋体"/>
          <w:spacing w:val="15"/>
          <w:sz w:val="24"/>
          <w:szCs w:val="24"/>
        </w:rPr>
        <w:t>）列入政府采购严重违法失信行为记录名单（处罚期限尚未届满的）</w:t>
      </w:r>
      <w:r>
        <w:rPr>
          <w:rFonts w:hint="eastAsia" w:ascii="宋体" w:hAnsi="宋体" w:cs="宋体"/>
          <w:sz w:val="24"/>
          <w:szCs w:val="24"/>
        </w:rPr>
        <w:t>”的承诺书（格式见第四章，加盖投标人公章）。格式见本章。</w:t>
      </w:r>
    </w:p>
    <w:p>
      <w:pPr>
        <w:ind w:firstLine="480" w:firstLineChars="200"/>
      </w:pPr>
      <w:r>
        <w:rPr>
          <w:rFonts w:hint="eastAsia"/>
          <w:b/>
          <w:bCs/>
          <w:sz w:val="24"/>
          <w:szCs w:val="24"/>
        </w:rPr>
        <w:t>注：</w:t>
      </w:r>
    </w:p>
    <w:p>
      <w:pPr>
        <w:spacing w:line="480" w:lineRule="exact"/>
        <w:ind w:left="-35" w:leftChars="-17" w:firstLine="470" w:firstLineChars="196"/>
        <w:rPr>
          <w:rFonts w:ascii="宋体" w:hAnsi="宋体" w:cs="宋体"/>
          <w:color w:val="000000"/>
          <w:sz w:val="24"/>
          <w:szCs w:val="24"/>
        </w:rPr>
      </w:pPr>
      <w:r>
        <w:rPr>
          <w:rFonts w:hint="eastAsia" w:ascii="宋体" w:hAnsi="宋体" w:cs="宋体"/>
          <w:color w:val="000000"/>
          <w:sz w:val="24"/>
          <w:szCs w:val="24"/>
        </w:rPr>
        <w:t>1、上述第2项原件，中标人必须在签订合同前提交采购人审查，中标人未能提供上述所有原件的，则取消其中标资格。</w:t>
      </w:r>
    </w:p>
    <w:p>
      <w:pPr>
        <w:spacing w:line="480" w:lineRule="exact"/>
        <w:ind w:firstLine="470" w:firstLineChars="196"/>
        <w:rPr>
          <w:rFonts w:ascii="宋体" w:hAnsi="宋体" w:cs="宋体"/>
          <w:color w:val="000000"/>
          <w:sz w:val="24"/>
          <w:szCs w:val="24"/>
        </w:rPr>
      </w:pPr>
      <w:r>
        <w:rPr>
          <w:rFonts w:hint="eastAsia" w:ascii="宋体" w:hAnsi="宋体" w:cs="宋体"/>
          <w:color w:val="000000"/>
          <w:sz w:val="24"/>
          <w:szCs w:val="24"/>
        </w:rPr>
        <w:t>2、上述资质审查时投标人所必须要提供的资格证明文件，如投标人未能提供上述资格证明文件以及发现投标人的资质条件不符合招标文件要求，可随时取消其投标或中标资格。</w:t>
      </w:r>
    </w:p>
    <w:p>
      <w:pPr>
        <w:spacing w:line="480" w:lineRule="exact"/>
        <w:ind w:firstLine="470" w:firstLineChars="196"/>
        <w:rPr>
          <w:rFonts w:ascii="宋体" w:hAnsi="宋体" w:cs="宋体"/>
          <w:color w:val="000000"/>
          <w:sz w:val="24"/>
          <w:szCs w:val="24"/>
        </w:rPr>
      </w:pPr>
      <w:r>
        <w:rPr>
          <w:rFonts w:hint="eastAsia" w:ascii="宋体" w:hAnsi="宋体" w:cs="宋体"/>
          <w:bCs/>
          <w:color w:val="000000"/>
          <w:sz w:val="24"/>
          <w:szCs w:val="24"/>
        </w:rPr>
        <w:t>3、投标人所提供的资格证明材料应真实、有效，采购人保留对投标人提供的资格证明材料进行核查的权利。如发现投标人提供虚假资格证明材料，采购人将对其进行严肃处理。</w:t>
      </w:r>
    </w:p>
    <w:p>
      <w:pPr>
        <w:pStyle w:val="2"/>
        <w:rPr>
          <w:rFonts w:ascii="宋体" w:hAnsi="宋体" w:cs="宋体"/>
          <w:szCs w:val="24"/>
          <w:lang w:val="en-US"/>
        </w:rPr>
      </w:pPr>
    </w:p>
    <w:p>
      <w:pPr>
        <w:rPr>
          <w:rFonts w:ascii="宋体" w:hAnsi="宋体" w:cs="宋体"/>
          <w:sz w:val="24"/>
          <w:szCs w:val="24"/>
        </w:rPr>
      </w:pPr>
      <w:r>
        <w:rPr>
          <w:rFonts w:hint="eastAsia" w:ascii="宋体" w:hAnsi="宋体" w:cs="宋体"/>
          <w:sz w:val="24"/>
          <w:szCs w:val="24"/>
        </w:rPr>
        <w:br w:type="page"/>
      </w:r>
    </w:p>
    <w:p>
      <w:pPr>
        <w:spacing w:line="360" w:lineRule="auto"/>
        <w:jc w:val="center"/>
        <w:rPr>
          <w:rFonts w:ascii="宋体" w:hAnsi="宋体" w:cs="宋体"/>
          <w:b/>
          <w:bCs/>
          <w:sz w:val="24"/>
          <w:szCs w:val="24"/>
        </w:rPr>
      </w:pPr>
      <w:r>
        <w:rPr>
          <w:rFonts w:hint="eastAsia" w:ascii="宋体" w:hAnsi="宋体" w:cs="宋体"/>
          <w:b/>
          <w:bCs/>
          <w:sz w:val="24"/>
          <w:szCs w:val="24"/>
        </w:rPr>
        <w:t>4.1 法定代表人资格证明</w:t>
      </w:r>
    </w:p>
    <w:p>
      <w:pPr>
        <w:spacing w:line="440" w:lineRule="exact"/>
        <w:rPr>
          <w:rFonts w:ascii="宋体" w:hAnsi="宋体" w:cs="宋体"/>
          <w:sz w:val="24"/>
          <w:szCs w:val="24"/>
        </w:rPr>
      </w:pPr>
      <w:r>
        <w:rPr>
          <w:rFonts w:hint="eastAsia" w:ascii="宋体" w:hAnsi="宋体" w:cs="宋体"/>
          <w:sz w:val="24"/>
          <w:szCs w:val="24"/>
        </w:rPr>
        <w:t>致淮阴工学院：</w:t>
      </w:r>
    </w:p>
    <w:p>
      <w:pPr>
        <w:spacing w:line="440" w:lineRule="exact"/>
        <w:rPr>
          <w:rFonts w:ascii="宋体" w:hAnsi="宋体" w:cs="宋体"/>
          <w:sz w:val="24"/>
          <w:szCs w:val="24"/>
        </w:rPr>
      </w:pPr>
    </w:p>
    <w:p>
      <w:pPr>
        <w:spacing w:line="440" w:lineRule="exact"/>
        <w:ind w:firstLine="480" w:firstLineChars="200"/>
        <w:rPr>
          <w:rFonts w:ascii="宋体" w:hAnsi="宋体" w:cs="宋体"/>
          <w:sz w:val="24"/>
          <w:szCs w:val="24"/>
        </w:rPr>
      </w:pPr>
      <w:r>
        <w:rPr>
          <w:rFonts w:hint="eastAsia" w:ascii="宋体" w:hAnsi="宋体" w:cs="宋体"/>
          <w:sz w:val="24"/>
          <w:szCs w:val="24"/>
        </w:rPr>
        <w:t>单位名称：</w:t>
      </w:r>
    </w:p>
    <w:p>
      <w:pPr>
        <w:spacing w:line="440" w:lineRule="exact"/>
        <w:ind w:firstLine="480" w:firstLineChars="200"/>
        <w:rPr>
          <w:rFonts w:ascii="宋体" w:hAnsi="宋体" w:cs="宋体"/>
          <w:sz w:val="24"/>
          <w:szCs w:val="24"/>
        </w:rPr>
      </w:pPr>
      <w:r>
        <w:rPr>
          <w:rFonts w:hint="eastAsia" w:ascii="宋体" w:hAnsi="宋体" w:cs="宋体"/>
          <w:sz w:val="24"/>
          <w:szCs w:val="24"/>
        </w:rPr>
        <w:t>地址：</w:t>
      </w:r>
    </w:p>
    <w:p>
      <w:pPr>
        <w:snapToGrid w:val="0"/>
        <w:spacing w:line="560" w:lineRule="exact"/>
        <w:ind w:left="359" w:leftChars="171" w:firstLine="120" w:firstLineChars="50"/>
        <w:jc w:val="left"/>
        <w:rPr>
          <w:rFonts w:ascii="宋体" w:hAnsi="宋体" w:cs="宋体"/>
          <w:sz w:val="24"/>
          <w:szCs w:val="24"/>
          <w:u w:val="single"/>
        </w:rPr>
      </w:pPr>
      <w:r>
        <w:rPr>
          <w:rFonts w:hint="eastAsia" w:ascii="宋体" w:hAnsi="宋体" w:cs="宋体"/>
          <w:sz w:val="24"/>
          <w:szCs w:val="24"/>
        </w:rPr>
        <w:t>姓名：                 性别：           职务：</w:t>
      </w:r>
    </w:p>
    <w:p>
      <w:pPr>
        <w:snapToGrid w:val="0"/>
        <w:spacing w:line="560" w:lineRule="exact"/>
        <w:ind w:firstLine="480" w:firstLineChars="200"/>
        <w:jc w:val="left"/>
        <w:rPr>
          <w:rFonts w:ascii="宋体" w:hAnsi="宋体" w:cs="宋体"/>
          <w:sz w:val="24"/>
          <w:szCs w:val="24"/>
          <w:u w:val="single"/>
        </w:rPr>
      </w:pPr>
      <w:r>
        <w:rPr>
          <w:rFonts w:hint="eastAsia" w:ascii="宋体" w:hAnsi="宋体" w:cs="宋体"/>
          <w:sz w:val="24"/>
          <w:szCs w:val="24"/>
        </w:rPr>
        <w:t>系</w:t>
      </w:r>
      <w:r>
        <w:rPr>
          <w:rFonts w:hint="eastAsia" w:ascii="宋体" w:hAnsi="宋体" w:cs="宋体"/>
          <w:sz w:val="24"/>
          <w:szCs w:val="24"/>
          <w:u w:val="single"/>
        </w:rPr>
        <w:t>（投标人单位名称）</w:t>
      </w:r>
      <w:r>
        <w:rPr>
          <w:rFonts w:hint="eastAsia" w:ascii="宋体" w:hAnsi="宋体" w:cs="宋体"/>
          <w:sz w:val="24"/>
          <w:szCs w:val="24"/>
        </w:rPr>
        <w:t>的法定代表人，以本公司名义参加淮阴工学院</w:t>
      </w:r>
      <w:r>
        <w:rPr>
          <w:rFonts w:hint="eastAsia" w:ascii="宋体" w:hAnsi="宋体" w:cs="宋体"/>
          <w:sz w:val="24"/>
          <w:szCs w:val="24"/>
          <w:u w:val="single"/>
        </w:rPr>
        <w:t>（项目名称）</w:t>
      </w:r>
      <w:r>
        <w:rPr>
          <w:rFonts w:hint="eastAsia" w:ascii="宋体" w:hAnsi="宋体" w:cs="宋体"/>
          <w:sz w:val="24"/>
          <w:szCs w:val="24"/>
        </w:rPr>
        <w:t>（项目编号：）投标活动，代表本公司签署投标文件、进行招标、进行合同谈判、签订合同和处理与之有关的一切事务。</w:t>
      </w:r>
    </w:p>
    <w:p>
      <w:pPr>
        <w:snapToGrid w:val="0"/>
        <w:spacing w:line="560" w:lineRule="exact"/>
        <w:ind w:firstLine="600"/>
        <w:jc w:val="left"/>
        <w:rPr>
          <w:rFonts w:ascii="宋体" w:hAnsi="宋体" w:cs="宋体"/>
          <w:sz w:val="24"/>
          <w:szCs w:val="24"/>
        </w:rPr>
      </w:pPr>
    </w:p>
    <w:p>
      <w:pPr>
        <w:snapToGrid w:val="0"/>
        <w:spacing w:line="560" w:lineRule="exact"/>
        <w:ind w:firstLine="600"/>
        <w:jc w:val="left"/>
        <w:rPr>
          <w:rFonts w:ascii="宋体" w:hAnsi="宋体" w:cs="宋体"/>
          <w:sz w:val="24"/>
          <w:szCs w:val="24"/>
        </w:rPr>
      </w:pPr>
      <w:r>
        <w:rPr>
          <w:rFonts w:hint="eastAsia" w:ascii="宋体" w:hAnsi="宋体" w:cs="宋体"/>
          <w:sz w:val="24"/>
          <w:szCs w:val="24"/>
        </w:rPr>
        <w:t>特此证明。</w:t>
      </w:r>
    </w:p>
    <w:p>
      <w:pPr>
        <w:snapToGrid w:val="0"/>
        <w:spacing w:line="560" w:lineRule="exact"/>
        <w:ind w:firstLine="600"/>
        <w:jc w:val="left"/>
        <w:rPr>
          <w:rFonts w:ascii="宋体" w:hAnsi="宋体" w:cs="宋体"/>
          <w:sz w:val="24"/>
          <w:szCs w:val="24"/>
        </w:rPr>
      </w:pPr>
    </w:p>
    <w:p>
      <w:pPr>
        <w:snapToGrid w:val="0"/>
        <w:spacing w:line="560" w:lineRule="exact"/>
        <w:ind w:firstLine="2880" w:firstLineChars="1200"/>
        <w:jc w:val="left"/>
        <w:rPr>
          <w:rFonts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（公章）</w:t>
      </w:r>
    </w:p>
    <w:p>
      <w:pPr>
        <w:snapToGrid w:val="0"/>
        <w:spacing w:line="560" w:lineRule="exact"/>
        <w:ind w:firstLine="2908" w:firstLineChars="1212"/>
        <w:jc w:val="left"/>
        <w:rPr>
          <w:rFonts w:ascii="宋体" w:hAnsi="宋体" w:cs="宋体"/>
          <w:sz w:val="24"/>
          <w:szCs w:val="24"/>
        </w:rPr>
      </w:pPr>
      <w:r>
        <w:rPr>
          <w:rFonts w:hint="eastAsia" w:ascii="宋体" w:hAnsi="宋体" w:cs="宋体"/>
          <w:sz w:val="24"/>
          <w:szCs w:val="24"/>
        </w:rPr>
        <w:t>日期：        年  月  日</w:t>
      </w:r>
    </w:p>
    <w:p>
      <w:pPr>
        <w:spacing w:line="560" w:lineRule="exact"/>
        <w:ind w:right="-350" w:rightChars="-167"/>
        <w:rPr>
          <w:rFonts w:ascii="宋体" w:hAnsi="宋体" w:cs="宋体"/>
          <w:sz w:val="24"/>
          <w:szCs w:val="24"/>
        </w:rPr>
      </w:pPr>
    </w:p>
    <w:p>
      <w:pPr>
        <w:spacing w:line="500" w:lineRule="exact"/>
        <w:ind w:right="32"/>
        <w:jc w:val="center"/>
        <w:rPr>
          <w:rFonts w:ascii="宋体" w:hAnsi="宋体" w:cs="宋体"/>
          <w:b/>
          <w:bCs/>
          <w:sz w:val="24"/>
          <w:szCs w:val="24"/>
        </w:rPr>
      </w:pPr>
    </w:p>
    <w:p>
      <w:pPr>
        <w:spacing w:line="500" w:lineRule="exact"/>
        <w:ind w:right="32"/>
        <w:jc w:val="center"/>
        <w:rPr>
          <w:rFonts w:ascii="宋体" w:hAnsi="宋体" w:cs="宋体"/>
          <w:b/>
          <w:bCs/>
          <w:sz w:val="24"/>
          <w:szCs w:val="24"/>
        </w:rPr>
      </w:pPr>
      <w:r>
        <w:rPr>
          <w:rFonts w:hint="eastAsia" w:ascii="宋体" w:hAnsi="宋体" w:cs="宋体"/>
          <w:sz w:val="24"/>
          <w:szCs w:val="24"/>
        </w:rPr>
        <mc:AlternateContent>
          <mc:Choice Requires="wps">
            <w:drawing>
              <wp:anchor distT="0" distB="0" distL="114300" distR="114300" simplePos="0" relativeHeight="251659264" behindDoc="0" locked="0" layoutInCell="1" allowOverlap="1">
                <wp:simplePos x="0" y="0"/>
                <wp:positionH relativeFrom="column">
                  <wp:posOffset>1314450</wp:posOffset>
                </wp:positionH>
                <wp:positionV relativeFrom="paragraph">
                  <wp:posOffset>89535</wp:posOffset>
                </wp:positionV>
                <wp:extent cx="3314700" cy="1882140"/>
                <wp:effectExtent l="0" t="0" r="0" b="381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法定</w:t>
                            </w:r>
                            <w:r>
                              <w:rPr>
                                <w:sz w:val="24"/>
                              </w:rPr>
                              <w:t>代表</w:t>
                            </w:r>
                            <w:r>
                              <w:rPr>
                                <w:rFonts w:hint="eastAsia"/>
                                <w:sz w:val="24"/>
                              </w:rPr>
                              <w:t>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3.5pt;margin-top:7.05pt;height:148.2pt;width:261pt;z-index:251659264;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DKTeI2QAAAAoBAAAPAAAAAAAAAAEAIAAAACIAAABkcnMvZG93&#10;bnJldi54bWxQSwECFAAUAAAACACHTuJAprhaajgCAACVBAAADgAAAAAAAAABACAAAAAoAQAAZHJz&#10;L2Uyb0RvYy54bWxQSwUGAAAAAAYABgBZAQAA0gUAAAAA&#10;">
                <v:fill on="t" focussize="0,0"/>
                <v:stroke color="#000000" miterlimit="8" joinstyle="miter"/>
                <v:imagedata o:title=""/>
                <o:lock v:ext="edit" aspectratio="f"/>
                <v:textbox>
                  <w:txbxContent>
                    <w:p/>
                    <w:p/>
                    <w:p/>
                    <w:p/>
                    <w:p>
                      <w:pPr>
                        <w:jc w:val="center"/>
                      </w:pPr>
                      <w:r>
                        <w:rPr>
                          <w:rFonts w:hint="eastAsia"/>
                          <w:sz w:val="24"/>
                        </w:rPr>
                        <w:t>法定</w:t>
                      </w:r>
                      <w:r>
                        <w:rPr>
                          <w:sz w:val="24"/>
                        </w:rPr>
                        <w:t>代表</w:t>
                      </w:r>
                      <w:r>
                        <w:rPr>
                          <w:rFonts w:hint="eastAsia"/>
                          <w:sz w:val="24"/>
                        </w:rPr>
                        <w:t>人身份证复印件粘贴处</w:t>
                      </w:r>
                    </w:p>
                  </w:txbxContent>
                </v:textbox>
              </v:shape>
            </w:pict>
          </mc:Fallback>
        </mc:AlternateContent>
      </w:r>
    </w:p>
    <w:p>
      <w:pPr>
        <w:spacing w:line="500" w:lineRule="exact"/>
        <w:ind w:right="32"/>
        <w:jc w:val="center"/>
        <w:rPr>
          <w:rFonts w:ascii="宋体" w:hAnsi="宋体" w:cs="宋体"/>
          <w:b/>
          <w:bCs/>
          <w:sz w:val="24"/>
          <w:szCs w:val="24"/>
        </w:rPr>
      </w:pPr>
    </w:p>
    <w:p>
      <w:pPr>
        <w:spacing w:line="500" w:lineRule="exact"/>
        <w:ind w:right="32"/>
        <w:jc w:val="center"/>
        <w:rPr>
          <w:rFonts w:ascii="宋体" w:hAnsi="宋体" w:cs="宋体"/>
          <w:b/>
          <w:bCs/>
          <w:sz w:val="24"/>
          <w:szCs w:val="24"/>
        </w:rPr>
      </w:pPr>
      <w:r>
        <w:rPr>
          <w:rFonts w:hint="eastAsia" w:ascii="宋体" w:hAnsi="宋体" w:cs="宋体"/>
          <w:b/>
          <w:bCs/>
          <w:sz w:val="24"/>
          <w:szCs w:val="24"/>
        </w:rPr>
        <w:br w:type="page"/>
      </w:r>
      <w:r>
        <w:rPr>
          <w:rFonts w:hint="eastAsia" w:ascii="宋体" w:hAnsi="宋体" w:cs="宋体"/>
          <w:b/>
          <w:bCs/>
          <w:sz w:val="24"/>
          <w:szCs w:val="24"/>
        </w:rPr>
        <w:t>4.2 法定代表人授权书</w:t>
      </w:r>
    </w:p>
    <w:p>
      <w:pPr>
        <w:spacing w:line="500" w:lineRule="exact"/>
        <w:ind w:right="32"/>
        <w:jc w:val="center"/>
        <w:rPr>
          <w:rFonts w:ascii="宋体" w:hAnsi="宋体" w:cs="宋体"/>
          <w:b/>
          <w:bCs/>
          <w:sz w:val="24"/>
          <w:szCs w:val="24"/>
        </w:rPr>
      </w:pPr>
    </w:p>
    <w:p>
      <w:pPr>
        <w:spacing w:line="480" w:lineRule="exact"/>
        <w:rPr>
          <w:rFonts w:ascii="宋体" w:hAnsi="宋体" w:cs="宋体"/>
          <w:sz w:val="24"/>
          <w:szCs w:val="24"/>
        </w:rPr>
      </w:pPr>
      <w:r>
        <w:rPr>
          <w:rFonts w:hint="eastAsia" w:ascii="宋体" w:hAnsi="宋体" w:cs="宋体"/>
          <w:sz w:val="24"/>
          <w:szCs w:val="24"/>
        </w:rPr>
        <w:t>致淮阴工学院：</w:t>
      </w:r>
    </w:p>
    <w:p>
      <w:pPr>
        <w:spacing w:line="480" w:lineRule="exact"/>
        <w:ind w:right="32" w:firstLine="480" w:firstLineChars="200"/>
        <w:rPr>
          <w:rFonts w:ascii="宋体" w:hAnsi="宋体" w:cs="宋体"/>
          <w:sz w:val="24"/>
          <w:szCs w:val="24"/>
        </w:rPr>
      </w:pPr>
      <w:r>
        <w:rPr>
          <w:rFonts w:hint="eastAsia" w:ascii="宋体" w:hAnsi="宋体" w:cs="宋体"/>
          <w:sz w:val="24"/>
          <w:szCs w:val="24"/>
        </w:rPr>
        <w:t>委托方：</w:t>
      </w:r>
    </w:p>
    <w:p>
      <w:pPr>
        <w:spacing w:line="480" w:lineRule="exact"/>
        <w:ind w:right="32" w:firstLine="480" w:firstLineChars="200"/>
        <w:rPr>
          <w:rFonts w:ascii="宋体" w:hAnsi="宋体" w:cs="宋体"/>
          <w:sz w:val="24"/>
          <w:szCs w:val="24"/>
        </w:rPr>
      </w:pPr>
      <w:r>
        <w:rPr>
          <w:rFonts w:hint="eastAsia" w:ascii="宋体" w:hAnsi="宋体" w:cs="宋体"/>
          <w:sz w:val="24"/>
          <w:szCs w:val="24"/>
        </w:rPr>
        <w:t>地址：</w:t>
      </w:r>
    </w:p>
    <w:p>
      <w:pPr>
        <w:spacing w:line="480" w:lineRule="exact"/>
        <w:ind w:right="34" w:firstLine="480" w:firstLineChars="200"/>
        <w:rPr>
          <w:rFonts w:ascii="宋体" w:hAnsi="宋体" w:cs="宋体"/>
          <w:sz w:val="24"/>
          <w:szCs w:val="24"/>
        </w:rPr>
      </w:pPr>
      <w:r>
        <w:rPr>
          <w:rFonts w:hint="eastAsia" w:ascii="宋体" w:hAnsi="宋体" w:cs="宋体"/>
          <w:sz w:val="24"/>
          <w:szCs w:val="24"/>
        </w:rPr>
        <w:t>法定代表人姓名（签章）：</w:t>
      </w:r>
    </w:p>
    <w:p>
      <w:pPr>
        <w:spacing w:line="480" w:lineRule="exact"/>
        <w:ind w:right="34" w:firstLine="480" w:firstLineChars="200"/>
        <w:rPr>
          <w:rFonts w:ascii="宋体" w:hAnsi="宋体" w:cs="宋体"/>
          <w:sz w:val="24"/>
          <w:szCs w:val="24"/>
        </w:rPr>
      </w:pPr>
      <w:r>
        <w:rPr>
          <w:rFonts w:hint="eastAsia" w:ascii="宋体" w:hAnsi="宋体" w:cs="宋体"/>
          <w:sz w:val="24"/>
          <w:szCs w:val="24"/>
        </w:rPr>
        <w:t>授权委托人姓名（签名）：        性别：    职务：</w:t>
      </w:r>
    </w:p>
    <w:p>
      <w:pPr>
        <w:spacing w:line="480" w:lineRule="exact"/>
        <w:ind w:right="34" w:firstLine="480" w:firstLineChars="200"/>
        <w:rPr>
          <w:rFonts w:ascii="宋体" w:hAnsi="宋体" w:cs="宋体"/>
          <w:sz w:val="24"/>
          <w:szCs w:val="24"/>
        </w:rPr>
      </w:pPr>
      <w:r>
        <w:rPr>
          <w:rFonts w:hint="eastAsia" w:ascii="宋体" w:hAnsi="宋体" w:cs="宋体"/>
          <w:sz w:val="24"/>
          <w:szCs w:val="24"/>
        </w:rPr>
        <w:t>授权委托人身份证号码：</w:t>
      </w:r>
    </w:p>
    <w:p>
      <w:pPr>
        <w:spacing w:line="480" w:lineRule="exact"/>
        <w:ind w:right="34" w:firstLine="480" w:firstLineChars="200"/>
        <w:rPr>
          <w:rFonts w:ascii="宋体" w:hAnsi="宋体" w:cs="宋体"/>
          <w:sz w:val="24"/>
          <w:szCs w:val="24"/>
        </w:rPr>
      </w:pPr>
      <w:r>
        <w:rPr>
          <w:rFonts w:hint="eastAsia" w:ascii="宋体" w:hAnsi="宋体" w:cs="宋体"/>
          <w:sz w:val="24"/>
          <w:szCs w:val="24"/>
        </w:rPr>
        <w:t>兹委托代表我公司参加淮阴工学院</w:t>
      </w:r>
      <w:r>
        <w:rPr>
          <w:rFonts w:hint="eastAsia" w:ascii="宋体" w:hAnsi="宋体" w:cs="宋体"/>
          <w:sz w:val="24"/>
          <w:szCs w:val="24"/>
          <w:u w:val="single"/>
        </w:rPr>
        <w:t xml:space="preserve">（项目名称）                 </w:t>
      </w:r>
      <w:r>
        <w:rPr>
          <w:rFonts w:hint="eastAsia" w:ascii="宋体" w:hAnsi="宋体" w:cs="宋体"/>
          <w:sz w:val="24"/>
          <w:szCs w:val="24"/>
        </w:rPr>
        <w:t>（项目编号：    ）投标活动。该授权委托人有权在该项招标活动中，代表我公司签署投标函和投标文件，与采购人协商、澄清、解释，进行合同谈判、签订合同，并处理与该项目有关的一切事务。</w:t>
      </w:r>
    </w:p>
    <w:p>
      <w:pPr>
        <w:spacing w:line="480" w:lineRule="exact"/>
        <w:ind w:right="34" w:firstLine="480" w:firstLineChars="200"/>
        <w:rPr>
          <w:rFonts w:ascii="宋体" w:hAnsi="宋体" w:cs="宋体"/>
          <w:sz w:val="24"/>
          <w:szCs w:val="24"/>
        </w:rPr>
      </w:pPr>
      <w:r>
        <w:rPr>
          <w:rFonts w:hint="eastAsia" w:ascii="宋体" w:hAnsi="宋体" w:cs="宋体"/>
          <w:sz w:val="24"/>
          <w:szCs w:val="24"/>
        </w:rPr>
        <w:t>授权委托人在办理上述事宜过程中以自己名义所签署的所有文件，我公司均予以承认。授权委托人无转委托权。</w:t>
      </w:r>
    </w:p>
    <w:p>
      <w:pPr>
        <w:spacing w:line="480" w:lineRule="exact"/>
        <w:ind w:right="34" w:firstLine="480" w:firstLineChars="200"/>
        <w:rPr>
          <w:rFonts w:ascii="宋体" w:hAnsi="宋体" w:cs="宋体"/>
          <w:sz w:val="24"/>
          <w:szCs w:val="24"/>
        </w:rPr>
      </w:pPr>
      <w:r>
        <w:rPr>
          <w:rFonts w:hint="eastAsia" w:ascii="宋体" w:hAnsi="宋体" w:cs="宋体"/>
          <w:sz w:val="24"/>
          <w:szCs w:val="24"/>
        </w:rPr>
        <w:t>授权期限：至上述事宜处理完毕止。</w:t>
      </w:r>
    </w:p>
    <w:p>
      <w:pPr>
        <w:spacing w:line="480" w:lineRule="exact"/>
        <w:ind w:right="34"/>
        <w:rPr>
          <w:rFonts w:ascii="宋体" w:hAnsi="宋体" w:cs="宋体"/>
          <w:sz w:val="24"/>
          <w:szCs w:val="24"/>
        </w:rPr>
      </w:pPr>
    </w:p>
    <w:p>
      <w:pPr>
        <w:snapToGrid w:val="0"/>
        <w:spacing w:line="560" w:lineRule="exact"/>
        <w:ind w:firstLine="2880" w:firstLineChars="1200"/>
        <w:jc w:val="left"/>
        <w:rPr>
          <w:rFonts w:ascii="宋体" w:hAnsi="宋体" w:cs="宋体"/>
          <w:sz w:val="24"/>
          <w:szCs w:val="24"/>
        </w:rPr>
      </w:pPr>
      <w:r>
        <w:rPr>
          <w:rFonts w:hint="eastAsia" w:ascii="宋体" w:hAnsi="宋体" w:cs="宋体"/>
          <w:sz w:val="24"/>
          <w:szCs w:val="24"/>
        </w:rPr>
        <w:t>委托人名称：</w:t>
      </w:r>
      <w:r>
        <w:rPr>
          <w:rFonts w:hint="eastAsia" w:ascii="宋体" w:hAnsi="宋体" w:cs="宋体"/>
          <w:sz w:val="24"/>
          <w:szCs w:val="24"/>
          <w:u w:val="single"/>
        </w:rPr>
        <w:t>（公章）</w:t>
      </w:r>
    </w:p>
    <w:p>
      <w:pPr>
        <w:snapToGrid w:val="0"/>
        <w:spacing w:line="560" w:lineRule="exact"/>
        <w:ind w:firstLine="2908" w:firstLineChars="1212"/>
        <w:jc w:val="left"/>
        <w:rPr>
          <w:rFonts w:ascii="宋体" w:hAnsi="宋体" w:cs="宋体"/>
          <w:sz w:val="24"/>
          <w:szCs w:val="24"/>
        </w:rPr>
      </w:pPr>
      <w:r>
        <w:rPr>
          <w:rFonts w:hint="eastAsia" w:ascii="宋体" w:hAnsi="宋体" w:cs="宋体"/>
          <w:sz w:val="24"/>
          <w:szCs w:val="24"/>
        </w:rPr>
        <w:t>日期：    年  月  日</w:t>
      </w:r>
    </w:p>
    <w:p>
      <w:pPr>
        <w:spacing w:line="360" w:lineRule="auto"/>
        <w:ind w:right="-350" w:rightChars="-167"/>
        <w:rPr>
          <w:rFonts w:ascii="宋体" w:hAnsi="宋体" w:cs="宋体"/>
          <w:sz w:val="24"/>
          <w:szCs w:val="24"/>
        </w:rPr>
      </w:pPr>
    </w:p>
    <w:p>
      <w:pPr>
        <w:spacing w:line="360" w:lineRule="auto"/>
        <w:ind w:right="-350" w:rightChars="-167"/>
        <w:rPr>
          <w:rFonts w:ascii="宋体" w:hAnsi="宋体" w:cs="宋体"/>
          <w:sz w:val="24"/>
          <w:szCs w:val="24"/>
        </w:rPr>
      </w:pPr>
      <w:r>
        <w:rPr>
          <w:rFonts w:hint="eastAsia" w:ascii="宋体" w:hAnsi="宋体" w:cs="宋体"/>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220345</wp:posOffset>
                </wp:positionV>
                <wp:extent cx="2449830" cy="1464310"/>
                <wp:effectExtent l="4445" t="4445" r="14605" b="9525"/>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49830" cy="146431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法定</w:t>
                            </w:r>
                            <w:r>
                              <w:rPr>
                                <w:sz w:val="24"/>
                              </w:rPr>
                              <w:t>代表</w:t>
                            </w:r>
                            <w:r>
                              <w:rPr>
                                <w:rFonts w:hint="eastAsia"/>
                                <w:sz w:val="24"/>
                              </w:rPr>
                              <w:t>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17.35pt;height:115.3pt;width:192.9pt;z-index:251660288;mso-width-relative:page;mso-height-relative:page;" fillcolor="#FFFFFF" filled="t" stroked="t" coordsize="21600,21600" o:gfxdata="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aP0Vl1wAAAAcBAAAPAAAAAAAAAAEAIAAAACIAAABkcnMvZG93&#10;bnJldi54bWxQSwECFAAUAAAACACHTuJAziDyaDoCAACVBAAADgAAAAAAAAABACAAAAAmAQAAZHJz&#10;L2Uyb0RvYy54bWxQSwUGAAAAAAYABgBZAQAA0gUAAAAA&#10;">
                <v:fill on="t" focussize="0,0"/>
                <v:stroke color="#000000" miterlimit="8" joinstyle="miter"/>
                <v:imagedata o:title=""/>
                <o:lock v:ext="edit" aspectratio="f"/>
                <v:textbox>
                  <w:txbxContent>
                    <w:p/>
                    <w:p/>
                    <w:p/>
                    <w:p>
                      <w:pPr>
                        <w:jc w:val="center"/>
                      </w:pPr>
                      <w:r>
                        <w:rPr>
                          <w:rFonts w:hint="eastAsia"/>
                          <w:sz w:val="24"/>
                        </w:rPr>
                        <w:t>法定</w:t>
                      </w:r>
                      <w:r>
                        <w:rPr>
                          <w:sz w:val="24"/>
                        </w:rPr>
                        <w:t>代表</w:t>
                      </w:r>
                      <w:r>
                        <w:rPr>
                          <w:rFonts w:hint="eastAsia"/>
                          <w:sz w:val="24"/>
                        </w:rPr>
                        <w:t>人身份证复印件粘贴处</w:t>
                      </w:r>
                    </w:p>
                  </w:txbxContent>
                </v:textbox>
              </v:shape>
            </w:pict>
          </mc:Fallback>
        </mc:AlternateContent>
      </w:r>
      <w:r>
        <w:rPr>
          <w:rFonts w:hint="eastAsia" w:ascii="宋体" w:hAnsi="宋体" w:cs="宋体"/>
          <w:sz w:val="24"/>
          <w:szCs w:val="24"/>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220345</wp:posOffset>
                </wp:positionV>
                <wp:extent cx="2313940" cy="1440815"/>
                <wp:effectExtent l="4445" t="4445" r="13335" b="1778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313940" cy="144081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13.45pt;width:182.2pt;z-index:251660288;mso-width-relative:page;mso-height-relative:page;" fillcolor="#FFFFFF" filled="t" stroked="t" coordsize="21600,21600" o:gfxdata="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ISI3i2gAAAAoBAAAPAAAAAAAAAAEAIAAAACIAAABkcnMvZG93&#10;bnJldi54bWxQSwECFAAUAAAACACHTuJAC5KAwjcCAACVBAAADgAAAAAAAAABACAAAAApAQAAZHJz&#10;L2Uyb0RvYy54bWxQSwUGAAAAAAYABgBZAQAA0g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rFonts w:ascii="宋体" w:hAnsi="宋体" w:cs="宋体"/>
          <w:sz w:val="24"/>
          <w:szCs w:val="24"/>
        </w:rPr>
      </w:pPr>
    </w:p>
    <w:p>
      <w:pPr>
        <w:spacing w:line="360" w:lineRule="auto"/>
        <w:ind w:right="-350" w:rightChars="-167"/>
        <w:rPr>
          <w:rFonts w:ascii="宋体" w:hAnsi="宋体" w:cs="宋体"/>
          <w:sz w:val="24"/>
          <w:szCs w:val="24"/>
        </w:rPr>
      </w:pPr>
    </w:p>
    <w:p>
      <w:pPr>
        <w:spacing w:line="360" w:lineRule="auto"/>
        <w:ind w:right="-350" w:rightChars="-167"/>
        <w:rPr>
          <w:rFonts w:ascii="宋体" w:hAnsi="宋体" w:cs="宋体"/>
          <w:sz w:val="24"/>
          <w:szCs w:val="24"/>
        </w:rPr>
      </w:pPr>
    </w:p>
    <w:p>
      <w:pPr>
        <w:autoSpaceDE w:val="0"/>
        <w:autoSpaceDN w:val="0"/>
        <w:adjustRightInd w:val="0"/>
        <w:spacing w:line="720" w:lineRule="exact"/>
        <w:ind w:firstLine="470" w:firstLineChars="196"/>
        <w:jc w:val="center"/>
        <w:rPr>
          <w:rFonts w:ascii="宋体" w:hAnsi="宋体" w:cs="宋体"/>
          <w:sz w:val="24"/>
          <w:szCs w:val="24"/>
        </w:rPr>
      </w:pPr>
      <w:r>
        <w:rPr>
          <w:rFonts w:hint="eastAsia" w:ascii="宋体" w:hAnsi="宋体" w:cs="宋体"/>
          <w:sz w:val="24"/>
          <w:szCs w:val="24"/>
        </w:rPr>
        <w:br w:type="page"/>
      </w:r>
      <w:r>
        <w:rPr>
          <w:rFonts w:hint="eastAsia" w:ascii="宋体" w:hAnsi="宋体" w:cs="宋体"/>
          <w:b/>
          <w:bCs/>
          <w:sz w:val="24"/>
          <w:szCs w:val="24"/>
        </w:rPr>
        <w:t>4.3 承诺书</w:t>
      </w:r>
    </w:p>
    <w:p>
      <w:pPr>
        <w:rPr>
          <w:rFonts w:ascii="宋体" w:hAnsi="宋体" w:cs="宋体"/>
          <w:sz w:val="24"/>
          <w:szCs w:val="24"/>
        </w:rPr>
      </w:pPr>
    </w:p>
    <w:p>
      <w:pPr>
        <w:widowControl w:val="0"/>
        <w:autoSpaceDE w:val="0"/>
        <w:autoSpaceDN w:val="0"/>
        <w:adjustRightInd w:val="0"/>
        <w:spacing w:line="360" w:lineRule="auto"/>
        <w:jc w:val="left"/>
        <w:rPr>
          <w:rFonts w:ascii="宋体" w:hAnsi="宋体" w:cs="宋体"/>
          <w:kern w:val="2"/>
          <w:sz w:val="24"/>
          <w:szCs w:val="24"/>
          <w:lang w:val="zh-CN"/>
        </w:rPr>
      </w:pPr>
      <w:r>
        <w:rPr>
          <w:rFonts w:hint="eastAsia" w:ascii="宋体" w:hAnsi="宋体" w:cs="宋体"/>
          <w:kern w:val="2"/>
          <w:sz w:val="24"/>
          <w:szCs w:val="24"/>
          <w:lang w:val="zh-CN"/>
        </w:rPr>
        <w:t>淮阴工学院：</w:t>
      </w:r>
    </w:p>
    <w:p>
      <w:pPr>
        <w:widowControl w:val="0"/>
        <w:autoSpaceDE w:val="0"/>
        <w:autoSpaceDN w:val="0"/>
        <w:adjustRightInd w:val="0"/>
        <w:spacing w:line="360" w:lineRule="auto"/>
        <w:ind w:firstLine="480" w:firstLineChars="200"/>
        <w:jc w:val="left"/>
        <w:rPr>
          <w:rFonts w:ascii="宋体" w:hAnsi="宋体" w:cs="宋体"/>
          <w:kern w:val="2"/>
          <w:sz w:val="24"/>
          <w:szCs w:val="24"/>
        </w:rPr>
      </w:pPr>
      <w:r>
        <w:rPr>
          <w:rFonts w:hint="eastAsia" w:ascii="宋体" w:hAnsi="宋体" w:cs="宋体"/>
          <w:kern w:val="2"/>
          <w:sz w:val="24"/>
          <w:szCs w:val="24"/>
        </w:rPr>
        <w:t>本公司郑重承诺如下：</w:t>
      </w:r>
    </w:p>
    <w:p>
      <w:pPr>
        <w:widowControl w:val="0"/>
        <w:autoSpaceDE w:val="0"/>
        <w:autoSpaceDN w:val="0"/>
        <w:adjustRightInd w:val="0"/>
        <w:spacing w:line="360" w:lineRule="auto"/>
        <w:ind w:firstLine="480" w:firstLineChars="200"/>
        <w:jc w:val="left"/>
        <w:rPr>
          <w:rFonts w:ascii="宋体" w:hAnsi="宋体" w:cs="宋体"/>
          <w:kern w:val="2"/>
          <w:sz w:val="24"/>
          <w:szCs w:val="24"/>
        </w:rPr>
      </w:pPr>
      <w:r>
        <w:rPr>
          <w:rFonts w:hint="eastAsia" w:ascii="宋体" w:hAnsi="宋体" w:cs="宋体"/>
          <w:kern w:val="2"/>
          <w:sz w:val="24"/>
          <w:szCs w:val="24"/>
        </w:rPr>
        <w:t>1.我公司符合《中华人民共和国政府采购法》第二十二条的规定。</w:t>
      </w:r>
    </w:p>
    <w:p>
      <w:pPr>
        <w:widowControl w:val="0"/>
        <w:autoSpaceDE w:val="0"/>
        <w:autoSpaceDN w:val="0"/>
        <w:adjustRightInd w:val="0"/>
        <w:spacing w:line="360" w:lineRule="auto"/>
        <w:ind w:firstLine="480" w:firstLineChars="200"/>
        <w:jc w:val="left"/>
        <w:rPr>
          <w:rFonts w:ascii="宋体" w:hAnsi="宋体" w:cs="宋体"/>
          <w:kern w:val="2"/>
          <w:sz w:val="24"/>
          <w:szCs w:val="24"/>
        </w:rPr>
      </w:pPr>
      <w:r>
        <w:rPr>
          <w:rFonts w:hint="eastAsia" w:ascii="宋体" w:hAnsi="宋体" w:cs="宋体"/>
          <w:kern w:val="2"/>
          <w:sz w:val="24"/>
          <w:szCs w:val="24"/>
        </w:rPr>
        <w:t>2.我公司具备履行合同所必需的设备和专业技术能力。</w:t>
      </w:r>
    </w:p>
    <w:p>
      <w:pPr>
        <w:widowControl w:val="0"/>
        <w:autoSpaceDE w:val="0"/>
        <w:autoSpaceDN w:val="0"/>
        <w:adjustRightInd w:val="0"/>
        <w:spacing w:line="360" w:lineRule="auto"/>
        <w:ind w:firstLine="480" w:firstLineChars="200"/>
        <w:jc w:val="left"/>
        <w:rPr>
          <w:rFonts w:ascii="宋体" w:hAnsi="宋体" w:cs="宋体"/>
          <w:kern w:val="2"/>
          <w:sz w:val="24"/>
          <w:szCs w:val="24"/>
        </w:rPr>
      </w:pPr>
      <w:r>
        <w:rPr>
          <w:rFonts w:hint="eastAsia" w:ascii="宋体" w:hAnsi="宋体" w:cs="宋体"/>
          <w:kern w:val="2"/>
          <w:sz w:val="24"/>
          <w:szCs w:val="24"/>
        </w:rPr>
        <w:t>3.我公司具有良好的经营行为和经营业绩，近三年在招投标活动中无不良记录。</w:t>
      </w:r>
    </w:p>
    <w:p>
      <w:pPr>
        <w:widowControl w:val="0"/>
        <w:autoSpaceDE w:val="0"/>
        <w:autoSpaceDN w:val="0"/>
        <w:adjustRightInd w:val="0"/>
        <w:spacing w:line="360" w:lineRule="auto"/>
        <w:ind w:firstLine="480" w:firstLineChars="200"/>
        <w:jc w:val="left"/>
        <w:rPr>
          <w:rFonts w:ascii="宋体" w:hAnsi="宋体" w:cs="宋体"/>
          <w:kern w:val="2"/>
          <w:sz w:val="24"/>
          <w:szCs w:val="24"/>
        </w:rPr>
      </w:pPr>
      <w:r>
        <w:rPr>
          <w:rFonts w:hint="eastAsia" w:ascii="宋体" w:hAnsi="宋体" w:cs="宋体"/>
          <w:kern w:val="2"/>
          <w:sz w:val="24"/>
          <w:szCs w:val="24"/>
        </w:rPr>
        <w:t>4.我公司不存在以下情形：供应商单位负责人为同一人或者存在直接控股、管理关系的不同供应商，不得同时参加同一合同项下的政府采购活动；为采购项目提供整体设计、规范编制或者项目管理、监理、检测等服务。</w:t>
      </w:r>
    </w:p>
    <w:p>
      <w:pPr>
        <w:widowControl w:val="0"/>
        <w:autoSpaceDE w:val="0"/>
        <w:autoSpaceDN w:val="0"/>
        <w:adjustRightInd w:val="0"/>
        <w:spacing w:line="360" w:lineRule="auto"/>
        <w:ind w:firstLine="480" w:firstLineChars="200"/>
        <w:jc w:val="left"/>
        <w:rPr>
          <w:rFonts w:ascii="宋体" w:hAnsi="宋体" w:cs="宋体"/>
          <w:kern w:val="2"/>
          <w:sz w:val="24"/>
          <w:szCs w:val="24"/>
        </w:rPr>
      </w:pPr>
      <w:r>
        <w:rPr>
          <w:rFonts w:hint="eastAsia" w:ascii="宋体" w:hAnsi="宋体" w:cs="宋体"/>
          <w:kern w:val="2"/>
          <w:sz w:val="24"/>
          <w:szCs w:val="24"/>
        </w:rPr>
        <w:t>5.我公司近三年内（本项目招标截止期前）投标人未被“信用中国”网站（</w:t>
      </w:r>
      <w:r>
        <w:fldChar w:fldCharType="begin"/>
      </w:r>
      <w:r>
        <w:instrText xml:space="preserve"> HYPERLINK "http://www.creditchina.gov.cn" </w:instrText>
      </w:r>
      <w:r>
        <w:fldChar w:fldCharType="separate"/>
      </w:r>
      <w:r>
        <w:rPr>
          <w:rFonts w:hint="eastAsia" w:ascii="宋体" w:hAnsi="宋体" w:cs="宋体"/>
          <w:kern w:val="2"/>
          <w:sz w:val="24"/>
          <w:szCs w:val="24"/>
        </w:rPr>
        <w:t>www.creditchina.gov.cn</w:t>
      </w:r>
      <w:r>
        <w:rPr>
          <w:rFonts w:hint="eastAsia" w:ascii="宋体" w:hAnsi="宋体" w:cs="宋体"/>
          <w:kern w:val="2"/>
          <w:sz w:val="24"/>
          <w:szCs w:val="24"/>
        </w:rPr>
        <w:fldChar w:fldCharType="end"/>
      </w:r>
      <w:r>
        <w:rPr>
          <w:rFonts w:hint="eastAsia" w:ascii="宋体" w:hAnsi="宋体" w:cs="宋体"/>
          <w:kern w:val="2"/>
          <w:sz w:val="24"/>
          <w:szCs w:val="24"/>
        </w:rPr>
        <w:t>）列入失信被执行人和重大税收违法失信主体名单、未被“中国政府采购网”网站（</w:t>
      </w:r>
      <w:r>
        <w:fldChar w:fldCharType="begin"/>
      </w:r>
      <w:r>
        <w:instrText xml:space="preserve"> HYPERLINK "http://www.ccgp.gov.cn" </w:instrText>
      </w:r>
      <w:r>
        <w:fldChar w:fldCharType="separate"/>
      </w:r>
      <w:r>
        <w:rPr>
          <w:rFonts w:hint="eastAsia" w:ascii="宋体" w:hAnsi="宋体" w:cs="宋体"/>
          <w:kern w:val="2"/>
          <w:sz w:val="24"/>
          <w:szCs w:val="24"/>
        </w:rPr>
        <w:t>www.ccgp.gov.cn</w:t>
      </w:r>
      <w:r>
        <w:rPr>
          <w:rFonts w:hint="eastAsia" w:ascii="宋体" w:hAnsi="宋体" w:cs="宋体"/>
          <w:kern w:val="2"/>
          <w:sz w:val="24"/>
          <w:szCs w:val="24"/>
        </w:rPr>
        <w:fldChar w:fldCharType="end"/>
      </w:r>
      <w:r>
        <w:rPr>
          <w:rFonts w:hint="eastAsia" w:ascii="宋体" w:hAnsi="宋体" w:cs="宋体"/>
          <w:kern w:val="2"/>
          <w:sz w:val="24"/>
          <w:szCs w:val="24"/>
        </w:rPr>
        <w:t>）列入政府采购严重违法失信行为记录名单（处罚期限尚未届满的）。</w:t>
      </w:r>
    </w:p>
    <w:p>
      <w:pPr>
        <w:wordWrap w:val="0"/>
        <w:autoSpaceDE w:val="0"/>
        <w:autoSpaceDN w:val="0"/>
        <w:adjustRightInd w:val="0"/>
        <w:spacing w:line="720" w:lineRule="exact"/>
        <w:jc w:val="right"/>
        <w:rPr>
          <w:rFonts w:ascii="宋体" w:hAnsi="宋体" w:cs="宋体"/>
          <w:sz w:val="24"/>
          <w:szCs w:val="24"/>
          <w:u w:val="single"/>
        </w:rPr>
      </w:pPr>
      <w:r>
        <w:rPr>
          <w:rFonts w:hint="eastAsia" w:ascii="宋体" w:hAnsi="宋体" w:cs="宋体"/>
          <w:sz w:val="24"/>
          <w:szCs w:val="24"/>
          <w:lang w:val="zh-CN"/>
        </w:rPr>
        <w:t>投标人：</w:t>
      </w:r>
      <w:r>
        <w:rPr>
          <w:rFonts w:hint="eastAsia" w:ascii="宋体" w:hAnsi="宋体" w:cs="宋体"/>
          <w:sz w:val="24"/>
          <w:szCs w:val="24"/>
        </w:rPr>
        <w:t xml:space="preserve"> </w:t>
      </w:r>
      <w:r>
        <w:rPr>
          <w:rFonts w:hint="eastAsia" w:ascii="宋体" w:hAnsi="宋体" w:cs="宋体"/>
          <w:sz w:val="24"/>
          <w:szCs w:val="24"/>
          <w:u w:val="single"/>
          <w:lang w:val="zh-CN"/>
        </w:rPr>
        <w:t xml:space="preserve">            （盖章）</w:t>
      </w:r>
      <w:r>
        <w:rPr>
          <w:rFonts w:hint="eastAsia" w:ascii="宋体" w:hAnsi="宋体" w:cs="宋体"/>
          <w:sz w:val="24"/>
          <w:szCs w:val="24"/>
          <w:u w:val="single"/>
        </w:rPr>
        <w:t xml:space="preserve">  </w:t>
      </w:r>
      <w:r>
        <w:rPr>
          <w:rFonts w:hint="eastAsia" w:ascii="宋体" w:hAnsi="宋体" w:cs="宋体"/>
          <w:sz w:val="24"/>
          <w:szCs w:val="24"/>
        </w:rPr>
        <w:t xml:space="preserve">          </w:t>
      </w:r>
    </w:p>
    <w:p>
      <w:pPr>
        <w:wordWrap w:val="0"/>
        <w:spacing w:line="520" w:lineRule="exact"/>
        <w:ind w:firstLine="2640" w:firstLineChars="1100"/>
        <w:jc w:val="right"/>
        <w:rPr>
          <w:rFonts w:ascii="宋体" w:hAnsi="宋体" w:cs="宋体"/>
          <w:w w:val="90"/>
          <w:sz w:val="24"/>
          <w:szCs w:val="24"/>
          <w:u w:val="single"/>
        </w:rPr>
      </w:pPr>
      <w:r>
        <w:rPr>
          <w:rFonts w:hint="eastAsia" w:ascii="宋体" w:hAnsi="宋体" w:cs="宋体"/>
          <w:sz w:val="24"/>
          <w:szCs w:val="24"/>
        </w:rPr>
        <w:t xml:space="preserve">法定代表人或其授权委托人（签章）：        </w:t>
      </w:r>
    </w:p>
    <w:p>
      <w:pPr>
        <w:wordWrap w:val="0"/>
        <w:snapToGrid w:val="0"/>
        <w:spacing w:line="560" w:lineRule="exact"/>
        <w:ind w:firstLine="2640" w:firstLineChars="1100"/>
        <w:jc w:val="right"/>
        <w:rPr>
          <w:rFonts w:ascii="宋体" w:hAnsi="宋体" w:cs="宋体"/>
          <w:sz w:val="24"/>
          <w:szCs w:val="24"/>
        </w:rPr>
      </w:pPr>
      <w:r>
        <w:rPr>
          <w:rFonts w:hint="eastAsia" w:ascii="宋体" w:hAnsi="宋体" w:cs="宋体"/>
          <w:sz w:val="24"/>
          <w:szCs w:val="24"/>
        </w:rPr>
        <w:t xml:space="preserve">日期：     年  月  日                </w:t>
      </w:r>
    </w:p>
    <w:p>
      <w:pPr>
        <w:ind w:firstLine="555"/>
        <w:rPr>
          <w:rFonts w:ascii="宋体" w:hAnsi="宋体" w:cs="宋体"/>
          <w:sz w:val="24"/>
          <w:szCs w:val="24"/>
        </w:rPr>
      </w:pPr>
    </w:p>
    <w:p>
      <w:pPr>
        <w:spacing w:line="440" w:lineRule="exact"/>
        <w:jc w:val="center"/>
        <w:rPr>
          <w:rFonts w:ascii="宋体" w:hAnsi="宋体" w:cs="宋体"/>
          <w:sz w:val="24"/>
          <w:szCs w:val="24"/>
        </w:rPr>
      </w:pPr>
      <w:r>
        <w:rPr>
          <w:rFonts w:hint="eastAsia" w:ascii="宋体" w:hAnsi="宋体" w:cs="宋体"/>
          <w:sz w:val="24"/>
          <w:szCs w:val="24"/>
        </w:rPr>
        <w:br w:type="page"/>
      </w:r>
    </w:p>
    <w:p>
      <w:pPr>
        <w:spacing w:line="360" w:lineRule="auto"/>
        <w:jc w:val="center"/>
        <w:rPr>
          <w:rFonts w:ascii="宋体" w:hAnsi="宋体" w:cs="宋体"/>
          <w:b/>
          <w:bCs/>
          <w:sz w:val="24"/>
          <w:szCs w:val="24"/>
        </w:rPr>
      </w:pPr>
      <w:r>
        <w:rPr>
          <w:rFonts w:hint="eastAsia" w:ascii="宋体" w:hAnsi="宋体" w:cs="宋体"/>
          <w:b/>
          <w:bCs/>
          <w:sz w:val="24"/>
          <w:szCs w:val="24"/>
        </w:rPr>
        <w:t>五 综合评分相关材料</w:t>
      </w:r>
    </w:p>
    <w:p>
      <w:pPr>
        <w:pStyle w:val="9"/>
        <w:spacing w:line="440" w:lineRule="exact"/>
        <w:jc w:val="center"/>
        <w:rPr>
          <w:rFonts w:hAnsi="宋体" w:cs="宋体"/>
          <w:sz w:val="24"/>
          <w:szCs w:val="24"/>
        </w:rPr>
      </w:pPr>
    </w:p>
    <w:p>
      <w:pPr>
        <w:snapToGrid w:val="0"/>
        <w:spacing w:line="520" w:lineRule="exact"/>
        <w:ind w:firstLine="480" w:firstLineChars="200"/>
        <w:rPr>
          <w:rFonts w:ascii="宋体" w:hAnsi="宋体" w:cs="宋体"/>
          <w:color w:val="000000"/>
          <w:sz w:val="24"/>
          <w:szCs w:val="24"/>
        </w:rPr>
      </w:pPr>
      <w:r>
        <w:rPr>
          <w:rFonts w:hint="eastAsia" w:ascii="宋体" w:hAnsi="宋体" w:cs="宋体"/>
          <w:color w:val="000000"/>
          <w:sz w:val="24"/>
          <w:szCs w:val="24"/>
        </w:rPr>
        <w:t>1、供应商根据评标标准“价格部分”中的要求提供文件（格式见本章，加盖供应商公章）。</w:t>
      </w:r>
    </w:p>
    <w:p>
      <w:pPr>
        <w:snapToGrid w:val="0"/>
        <w:spacing w:line="520" w:lineRule="exact"/>
        <w:ind w:firstLine="480" w:firstLineChars="200"/>
        <w:rPr>
          <w:rFonts w:ascii="宋体" w:hAnsi="宋体" w:cs="宋体"/>
          <w:color w:val="000000"/>
          <w:sz w:val="24"/>
          <w:szCs w:val="24"/>
        </w:rPr>
      </w:pPr>
      <w:r>
        <w:rPr>
          <w:rFonts w:hint="eastAsia" w:ascii="宋体" w:hAnsi="宋体" w:cs="宋体"/>
          <w:color w:val="000000"/>
          <w:sz w:val="24"/>
          <w:szCs w:val="24"/>
        </w:rPr>
        <w:t>2、供应商根据评标标准“技术部分”中的要求技术（服务、商务）要求响应偏离表。（格式见本章，加盖供应商公章）。</w:t>
      </w:r>
    </w:p>
    <w:p>
      <w:pPr>
        <w:snapToGrid w:val="0"/>
        <w:spacing w:line="520" w:lineRule="exact"/>
        <w:ind w:firstLine="480" w:firstLineChars="200"/>
        <w:rPr>
          <w:rFonts w:ascii="宋体" w:hAnsi="宋体" w:cs="宋体"/>
          <w:color w:val="000000"/>
          <w:sz w:val="24"/>
          <w:szCs w:val="24"/>
        </w:rPr>
      </w:pPr>
      <w:r>
        <w:rPr>
          <w:rFonts w:hint="eastAsia" w:ascii="宋体" w:hAnsi="宋体" w:cs="宋体"/>
          <w:color w:val="000000"/>
          <w:sz w:val="24"/>
          <w:szCs w:val="24"/>
        </w:rPr>
        <w:t>3、供应商根据评标标准“</w:t>
      </w:r>
      <w:r>
        <w:rPr>
          <w:rFonts w:hint="eastAsia" w:ascii="宋体" w:hAnsi="宋体" w:cs="宋体"/>
          <w:color w:val="000000"/>
          <w:sz w:val="24"/>
          <w:szCs w:val="24"/>
          <w:lang w:bidi="ar"/>
        </w:rPr>
        <w:t>方案部分</w:t>
      </w:r>
      <w:r>
        <w:rPr>
          <w:rFonts w:hint="eastAsia" w:ascii="宋体" w:hAnsi="宋体" w:cs="宋体"/>
          <w:color w:val="000000"/>
          <w:sz w:val="24"/>
          <w:szCs w:val="24"/>
        </w:rPr>
        <w:t>”中的所有要求提供材料（格式见本章，提供原件的复印件，加盖供应商公章）。</w:t>
      </w:r>
    </w:p>
    <w:p>
      <w:pPr>
        <w:snapToGrid w:val="0"/>
        <w:spacing w:line="520" w:lineRule="exact"/>
        <w:ind w:firstLine="480" w:firstLineChars="200"/>
        <w:rPr>
          <w:rFonts w:ascii="宋体" w:hAnsi="宋体" w:cs="宋体"/>
          <w:color w:val="000000"/>
          <w:sz w:val="24"/>
          <w:szCs w:val="24"/>
        </w:rPr>
      </w:pPr>
      <w:r>
        <w:rPr>
          <w:rFonts w:hint="eastAsia" w:ascii="宋体" w:hAnsi="宋体" w:cs="宋体"/>
          <w:color w:val="000000"/>
          <w:sz w:val="24"/>
          <w:szCs w:val="24"/>
        </w:rPr>
        <w:t>4、供应商根据评标标准“投标人业绩”中的要求提供材料。（提供原件的复印件，加盖供应商公章）。</w:t>
      </w:r>
    </w:p>
    <w:p>
      <w:pPr>
        <w:spacing w:line="520" w:lineRule="exact"/>
        <w:ind w:firstLine="480" w:firstLineChars="200"/>
        <w:rPr>
          <w:rFonts w:ascii="宋体" w:hAnsi="宋体" w:cs="宋体"/>
          <w:color w:val="000000"/>
          <w:sz w:val="24"/>
          <w:szCs w:val="24"/>
        </w:rPr>
      </w:pPr>
      <w:r>
        <w:rPr>
          <w:rFonts w:hint="eastAsia" w:ascii="宋体" w:hAnsi="宋体" w:cs="宋体"/>
          <w:color w:val="000000"/>
          <w:sz w:val="24"/>
          <w:szCs w:val="24"/>
        </w:rPr>
        <w:t>5、供应商根据评标标准“</w:t>
      </w:r>
      <w:r>
        <w:rPr>
          <w:rFonts w:hint="eastAsia" w:ascii="宋体" w:hAnsi="宋体" w:cs="宋体"/>
          <w:color w:val="000000"/>
          <w:sz w:val="24"/>
          <w:szCs w:val="24"/>
          <w:highlight w:val="none"/>
        </w:rPr>
        <w:t>资质、实力</w:t>
      </w:r>
      <w:r>
        <w:rPr>
          <w:rFonts w:hint="eastAsia" w:ascii="宋体" w:hAnsi="宋体" w:cs="宋体"/>
          <w:color w:val="000000"/>
          <w:sz w:val="24"/>
          <w:szCs w:val="24"/>
        </w:rPr>
        <w:t>”中的要求提供材料。（格式自拟，加盖供应商公章）。</w:t>
      </w:r>
    </w:p>
    <w:p>
      <w:pPr>
        <w:spacing w:line="520" w:lineRule="exact"/>
        <w:ind w:firstLine="480" w:firstLineChars="200"/>
        <w:rPr>
          <w:rFonts w:ascii="宋体" w:hAnsi="宋体" w:cs="宋体"/>
          <w:color w:val="000000"/>
          <w:sz w:val="24"/>
          <w:szCs w:val="24"/>
        </w:rPr>
      </w:pPr>
      <w:r>
        <w:rPr>
          <w:rFonts w:hint="eastAsia" w:ascii="宋体" w:hAnsi="宋体" w:cs="宋体"/>
          <w:color w:val="000000"/>
          <w:sz w:val="24"/>
          <w:szCs w:val="24"/>
        </w:rPr>
        <w:t>6、供应商根据评标标准“售后服务”中的要求提供材料。（格式自拟，加盖供应商公章）。</w:t>
      </w:r>
    </w:p>
    <w:p>
      <w:pPr>
        <w:spacing w:line="520" w:lineRule="exact"/>
        <w:ind w:firstLine="480" w:firstLineChars="200"/>
        <w:rPr>
          <w:rFonts w:ascii="宋体" w:hAnsi="宋体" w:cs="宋体"/>
          <w:color w:val="000000"/>
          <w:sz w:val="24"/>
          <w:szCs w:val="24"/>
        </w:rPr>
      </w:pPr>
      <w:r>
        <w:rPr>
          <w:rFonts w:hint="eastAsia" w:ascii="宋体" w:hAnsi="宋体" w:cs="宋体"/>
          <w:color w:val="000000"/>
          <w:sz w:val="24"/>
          <w:szCs w:val="24"/>
        </w:rPr>
        <w:t>7、其他相关材料。</w:t>
      </w:r>
    </w:p>
    <w:p>
      <w:pPr>
        <w:pStyle w:val="9"/>
        <w:spacing w:line="440" w:lineRule="exact"/>
        <w:rPr>
          <w:rFonts w:hAnsi="宋体" w:cs="宋体"/>
          <w:sz w:val="24"/>
          <w:szCs w:val="24"/>
        </w:rPr>
      </w:pPr>
    </w:p>
    <w:p>
      <w:pPr>
        <w:pStyle w:val="9"/>
        <w:spacing w:line="440" w:lineRule="exact"/>
        <w:jc w:val="center"/>
        <w:rPr>
          <w:rFonts w:hAnsi="宋体" w:cs="宋体"/>
          <w:sz w:val="24"/>
          <w:szCs w:val="24"/>
        </w:rPr>
      </w:pPr>
    </w:p>
    <w:p>
      <w:pPr>
        <w:pStyle w:val="9"/>
        <w:spacing w:line="440" w:lineRule="exact"/>
        <w:jc w:val="center"/>
        <w:rPr>
          <w:rFonts w:hAnsi="宋体" w:cs="宋体"/>
          <w:sz w:val="24"/>
          <w:szCs w:val="24"/>
        </w:rPr>
      </w:pPr>
    </w:p>
    <w:p>
      <w:pPr>
        <w:pStyle w:val="9"/>
        <w:spacing w:line="440" w:lineRule="exact"/>
        <w:jc w:val="center"/>
        <w:rPr>
          <w:rFonts w:hAnsi="宋体" w:cs="宋体"/>
          <w:sz w:val="24"/>
          <w:szCs w:val="24"/>
        </w:rPr>
      </w:pPr>
    </w:p>
    <w:p>
      <w:pPr>
        <w:pStyle w:val="9"/>
        <w:spacing w:line="440" w:lineRule="exact"/>
        <w:jc w:val="center"/>
        <w:rPr>
          <w:rFonts w:hAnsi="宋体" w:cs="宋体"/>
          <w:sz w:val="24"/>
          <w:szCs w:val="24"/>
        </w:rPr>
      </w:pPr>
    </w:p>
    <w:p>
      <w:pPr>
        <w:pStyle w:val="9"/>
        <w:spacing w:line="440" w:lineRule="exact"/>
        <w:jc w:val="center"/>
        <w:rPr>
          <w:rFonts w:hAnsi="宋体" w:cs="宋体"/>
          <w:sz w:val="24"/>
          <w:szCs w:val="24"/>
        </w:rPr>
      </w:pPr>
    </w:p>
    <w:p>
      <w:pPr>
        <w:pStyle w:val="9"/>
        <w:spacing w:line="440" w:lineRule="exact"/>
        <w:jc w:val="center"/>
        <w:rPr>
          <w:rFonts w:hAnsi="宋体" w:cs="宋体"/>
          <w:sz w:val="24"/>
          <w:szCs w:val="24"/>
        </w:rPr>
      </w:pPr>
    </w:p>
    <w:p>
      <w:pPr>
        <w:pStyle w:val="9"/>
        <w:spacing w:line="440" w:lineRule="exact"/>
        <w:jc w:val="center"/>
        <w:rPr>
          <w:rFonts w:hAnsi="宋体" w:cs="宋体"/>
          <w:sz w:val="24"/>
          <w:szCs w:val="24"/>
        </w:rPr>
      </w:pPr>
    </w:p>
    <w:p>
      <w:r>
        <w:rPr>
          <w:rFonts w:hint="eastAsia"/>
        </w:rPr>
        <w:br w:type="page"/>
      </w:r>
    </w:p>
    <w:p>
      <w:pPr>
        <w:spacing w:line="360" w:lineRule="auto"/>
        <w:jc w:val="center"/>
        <w:rPr>
          <w:rFonts w:ascii="宋体" w:hAnsi="宋体" w:cs="宋体"/>
          <w:b/>
          <w:bCs/>
          <w:sz w:val="24"/>
          <w:szCs w:val="24"/>
        </w:rPr>
      </w:pPr>
      <w:r>
        <w:rPr>
          <w:rFonts w:hint="eastAsia" w:ascii="宋体" w:hAnsi="宋体" w:cs="宋体"/>
          <w:b/>
          <w:bCs/>
          <w:sz w:val="24"/>
          <w:szCs w:val="24"/>
        </w:rPr>
        <w:t>5.1  技术（商务、服务）要求响应偏离表</w:t>
      </w:r>
    </w:p>
    <w:p>
      <w:pPr>
        <w:pStyle w:val="9"/>
        <w:spacing w:line="440" w:lineRule="exact"/>
        <w:jc w:val="center"/>
        <w:rPr>
          <w:rFonts w:hAnsi="宋体" w:cs="宋体"/>
          <w:b/>
          <w:sz w:val="24"/>
          <w:szCs w:val="24"/>
        </w:rPr>
      </w:pPr>
    </w:p>
    <w:tbl>
      <w:tblPr>
        <w:tblStyle w:val="20"/>
        <w:tblW w:w="83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684"/>
        <w:gridCol w:w="3411"/>
        <w:gridCol w:w="2223"/>
        <w:gridCol w:w="1023"/>
        <w:gridCol w:w="10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30" w:hRule="atLeast"/>
          <w:jc w:val="center"/>
        </w:trPr>
        <w:tc>
          <w:tcPr>
            <w:tcW w:w="684"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34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项目采购需求中主要技术</w:t>
            </w:r>
          </w:p>
          <w:p>
            <w:pPr>
              <w:jc w:val="center"/>
              <w:rPr>
                <w:rFonts w:ascii="宋体" w:hAnsi="宋体" w:cs="宋体"/>
                <w:sz w:val="24"/>
                <w:szCs w:val="24"/>
              </w:rPr>
            </w:pPr>
            <w:r>
              <w:rPr>
                <w:rFonts w:hint="eastAsia" w:ascii="宋体" w:hAnsi="宋体" w:cs="宋体"/>
                <w:sz w:val="24"/>
                <w:szCs w:val="24"/>
              </w:rPr>
              <w:t>条款描述</w:t>
            </w: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所投产品规格、型号及相应技术参数描述</w:t>
            </w:r>
          </w:p>
        </w:tc>
        <w:tc>
          <w:tcPr>
            <w:tcW w:w="102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cs="宋体"/>
                <w:sz w:val="24"/>
                <w:szCs w:val="24"/>
              </w:rPr>
            </w:pPr>
            <w:r>
              <w:rPr>
                <w:rFonts w:hint="eastAsia" w:ascii="宋体" w:hAnsi="宋体" w:cs="宋体"/>
                <w:sz w:val="24"/>
                <w:szCs w:val="24"/>
              </w:rPr>
              <w:t>偏离</w:t>
            </w:r>
          </w:p>
          <w:p>
            <w:pPr>
              <w:ind w:firstLine="240" w:firstLineChars="100"/>
              <w:rPr>
                <w:rFonts w:ascii="宋体" w:hAnsi="宋体" w:cs="宋体"/>
                <w:sz w:val="24"/>
                <w:szCs w:val="24"/>
              </w:rPr>
            </w:pPr>
            <w:r>
              <w:rPr>
                <w:rFonts w:hint="eastAsia" w:ascii="宋体" w:hAnsi="宋体" w:cs="宋体"/>
                <w:sz w:val="24"/>
                <w:szCs w:val="24"/>
              </w:rPr>
              <w:t>情况</w:t>
            </w:r>
          </w:p>
        </w:tc>
        <w:tc>
          <w:tcPr>
            <w:tcW w:w="1017" w:type="dxa"/>
            <w:tcBorders>
              <w:top w:val="single" w:color="auto" w:sz="4" w:space="0"/>
              <w:left w:val="single" w:color="auto" w:sz="4" w:space="0"/>
              <w:bottom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830" w:hRule="atLeast"/>
          <w:jc w:val="center"/>
        </w:trPr>
        <w:tc>
          <w:tcPr>
            <w:tcW w:w="684"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34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7" w:type="dxa"/>
            <w:tcBorders>
              <w:top w:val="single" w:color="auto" w:sz="4" w:space="0"/>
              <w:left w:val="single" w:color="auto" w:sz="4" w:space="0"/>
              <w:bottom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830" w:hRule="atLeast"/>
          <w:jc w:val="center"/>
        </w:trPr>
        <w:tc>
          <w:tcPr>
            <w:tcW w:w="684"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34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7" w:type="dxa"/>
            <w:tcBorders>
              <w:top w:val="single" w:color="auto" w:sz="4" w:space="0"/>
              <w:left w:val="single" w:color="auto" w:sz="4" w:space="0"/>
              <w:bottom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830" w:hRule="atLeast"/>
          <w:jc w:val="center"/>
        </w:trPr>
        <w:tc>
          <w:tcPr>
            <w:tcW w:w="684"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34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7" w:type="dxa"/>
            <w:tcBorders>
              <w:top w:val="single" w:color="auto" w:sz="4" w:space="0"/>
              <w:left w:val="single" w:color="auto" w:sz="4" w:space="0"/>
              <w:bottom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830" w:hRule="atLeast"/>
          <w:jc w:val="center"/>
        </w:trPr>
        <w:tc>
          <w:tcPr>
            <w:tcW w:w="684"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34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7" w:type="dxa"/>
            <w:tcBorders>
              <w:top w:val="single" w:color="auto" w:sz="4" w:space="0"/>
              <w:left w:val="single" w:color="auto" w:sz="4" w:space="0"/>
              <w:bottom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830" w:hRule="atLeast"/>
          <w:jc w:val="center"/>
        </w:trPr>
        <w:tc>
          <w:tcPr>
            <w:tcW w:w="684"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34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7" w:type="dxa"/>
            <w:tcBorders>
              <w:top w:val="single" w:color="auto" w:sz="4" w:space="0"/>
              <w:left w:val="single" w:color="auto" w:sz="4" w:space="0"/>
              <w:bottom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830" w:hRule="atLeast"/>
          <w:jc w:val="center"/>
        </w:trPr>
        <w:tc>
          <w:tcPr>
            <w:tcW w:w="684"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34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7" w:type="dxa"/>
            <w:tcBorders>
              <w:top w:val="single" w:color="auto" w:sz="4" w:space="0"/>
              <w:left w:val="single" w:color="auto" w:sz="4" w:space="0"/>
              <w:bottom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830" w:hRule="atLeast"/>
          <w:jc w:val="center"/>
        </w:trPr>
        <w:tc>
          <w:tcPr>
            <w:tcW w:w="684"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34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7" w:type="dxa"/>
            <w:tcBorders>
              <w:top w:val="single" w:color="auto" w:sz="4" w:space="0"/>
              <w:left w:val="single" w:color="auto" w:sz="4" w:space="0"/>
              <w:bottom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850" w:hRule="atLeast"/>
          <w:jc w:val="center"/>
        </w:trPr>
        <w:tc>
          <w:tcPr>
            <w:tcW w:w="684"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34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7" w:type="dxa"/>
            <w:tcBorders>
              <w:top w:val="single" w:color="auto" w:sz="4" w:space="0"/>
              <w:left w:val="single" w:color="auto" w:sz="4" w:space="0"/>
              <w:bottom w:val="single" w:color="auto" w:sz="4" w:space="0"/>
            </w:tcBorders>
            <w:vAlign w:val="center"/>
          </w:tcPr>
          <w:p>
            <w:pPr>
              <w:spacing w:line="360" w:lineRule="auto"/>
              <w:jc w:val="center"/>
              <w:rPr>
                <w:rFonts w:ascii="宋体" w:hAnsi="宋体" w:cs="宋体"/>
                <w:sz w:val="24"/>
                <w:szCs w:val="24"/>
              </w:rPr>
            </w:pPr>
          </w:p>
        </w:tc>
      </w:tr>
    </w:tbl>
    <w:p>
      <w:pPr>
        <w:spacing w:line="520" w:lineRule="exact"/>
        <w:rPr>
          <w:rFonts w:ascii="宋体" w:hAnsi="宋体" w:cs="宋体"/>
          <w:sz w:val="24"/>
          <w:szCs w:val="24"/>
          <w:u w:val="single"/>
        </w:rPr>
      </w:pPr>
      <w:r>
        <w:rPr>
          <w:rFonts w:hint="eastAsia" w:ascii="宋体" w:hAnsi="宋体" w:cs="宋体"/>
          <w:sz w:val="24"/>
          <w:szCs w:val="24"/>
        </w:rPr>
        <w:t>投标人：</w:t>
      </w:r>
      <w:r>
        <w:rPr>
          <w:rFonts w:hint="eastAsia" w:ascii="宋体" w:hAnsi="宋体" w:cs="宋体"/>
          <w:sz w:val="24"/>
          <w:szCs w:val="24"/>
          <w:u w:val="single"/>
        </w:rPr>
        <w:t>（加盖公章）</w:t>
      </w:r>
    </w:p>
    <w:p>
      <w:pPr>
        <w:spacing w:line="520" w:lineRule="exact"/>
        <w:rPr>
          <w:rFonts w:ascii="宋体" w:hAnsi="宋体" w:cs="宋体"/>
          <w:w w:val="90"/>
          <w:sz w:val="24"/>
          <w:szCs w:val="24"/>
          <w:u w:val="single"/>
        </w:rPr>
      </w:pPr>
      <w:r>
        <w:rPr>
          <w:rFonts w:hint="eastAsia" w:ascii="宋体" w:hAnsi="宋体" w:cs="宋体"/>
          <w:sz w:val="24"/>
          <w:szCs w:val="24"/>
        </w:rPr>
        <w:t>法定代表人或其授权委托人（签章）：</w:t>
      </w:r>
    </w:p>
    <w:p>
      <w:pPr>
        <w:snapToGrid w:val="0"/>
        <w:spacing w:line="560" w:lineRule="exact"/>
        <w:jc w:val="left"/>
        <w:rPr>
          <w:rFonts w:ascii="宋体" w:hAnsi="宋体" w:cs="宋体"/>
          <w:sz w:val="24"/>
          <w:szCs w:val="24"/>
        </w:rPr>
      </w:pPr>
      <w:r>
        <w:rPr>
          <w:rFonts w:hint="eastAsia" w:ascii="宋体" w:hAnsi="宋体" w:cs="宋体"/>
          <w:sz w:val="24"/>
          <w:szCs w:val="24"/>
        </w:rPr>
        <w:t>日期：    年  月  日</w:t>
      </w:r>
    </w:p>
    <w:p>
      <w:pPr>
        <w:spacing w:line="440" w:lineRule="exact"/>
        <w:rPr>
          <w:rFonts w:ascii="宋体" w:hAnsi="宋体" w:cs="宋体"/>
          <w:sz w:val="24"/>
          <w:szCs w:val="24"/>
        </w:rPr>
      </w:pPr>
      <w:r>
        <w:rPr>
          <w:rFonts w:hint="eastAsia" w:ascii="宋体" w:hAnsi="宋体" w:cs="宋体"/>
          <w:sz w:val="24"/>
          <w:szCs w:val="24"/>
        </w:rPr>
        <w:t>注：（1）此表为表样，行数可自行添加，但表式不变。</w:t>
      </w:r>
    </w:p>
    <w:p>
      <w:pPr>
        <w:spacing w:line="440" w:lineRule="exact"/>
        <w:ind w:firstLine="360" w:firstLineChars="150"/>
        <w:rPr>
          <w:rFonts w:ascii="宋体" w:hAnsi="宋体" w:cs="宋体"/>
          <w:sz w:val="24"/>
          <w:szCs w:val="24"/>
        </w:rPr>
      </w:pPr>
      <w:r>
        <w:rPr>
          <w:rFonts w:hint="eastAsia" w:ascii="宋体" w:hAnsi="宋体" w:cs="宋体"/>
          <w:sz w:val="24"/>
          <w:szCs w:val="24"/>
        </w:rPr>
        <w:t>（2）是否偏离用符号“+、=、-”分别表示正偏离、完全响应、负偏离。</w:t>
      </w:r>
    </w:p>
    <w:p>
      <w:pPr>
        <w:spacing w:line="440" w:lineRule="exact"/>
        <w:ind w:firstLine="360" w:firstLineChars="150"/>
        <w:rPr>
          <w:rFonts w:ascii="宋体" w:hAnsi="宋体" w:cs="宋体"/>
          <w:b/>
          <w:bCs/>
          <w:sz w:val="24"/>
          <w:szCs w:val="24"/>
        </w:rPr>
      </w:pPr>
      <w:r>
        <w:rPr>
          <w:rFonts w:hint="eastAsia" w:ascii="宋体" w:hAnsi="宋体" w:cs="宋体"/>
          <w:sz w:val="24"/>
          <w:szCs w:val="24"/>
        </w:rPr>
        <w:t>（3）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470" w:firstLineChars="196"/>
        <w:jc w:val="center"/>
        <w:rPr>
          <w:rFonts w:ascii="宋体" w:hAnsi="宋体" w:cs="宋体"/>
          <w:sz w:val="24"/>
          <w:szCs w:val="24"/>
        </w:rPr>
      </w:pPr>
      <w:r>
        <w:rPr>
          <w:rFonts w:hint="eastAsia" w:ascii="宋体" w:hAnsi="宋体" w:cs="宋体"/>
          <w:sz w:val="24"/>
          <w:szCs w:val="24"/>
        </w:rPr>
        <w:br w:type="page"/>
      </w:r>
      <w:r>
        <w:rPr>
          <w:rFonts w:hint="eastAsia" w:ascii="宋体" w:hAnsi="宋体" w:cs="宋体"/>
          <w:b/>
          <w:bCs/>
          <w:sz w:val="24"/>
          <w:szCs w:val="24"/>
        </w:rPr>
        <w:t>5.2 投标人近三年业绩一览表</w:t>
      </w:r>
    </w:p>
    <w:p>
      <w:pPr>
        <w:rPr>
          <w:rFonts w:ascii="宋体" w:hAnsi="宋体" w:cs="宋体"/>
          <w:sz w:val="24"/>
          <w:szCs w:val="24"/>
        </w:rPr>
      </w:pPr>
    </w:p>
    <w:tbl>
      <w:tblPr>
        <w:tblStyle w:val="20"/>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702"/>
        <w:gridCol w:w="1223"/>
        <w:gridCol w:w="1223"/>
        <w:gridCol w:w="2260"/>
        <w:gridCol w:w="1654"/>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742" w:type="dxa"/>
            <w:vAlign w:val="center"/>
          </w:tcPr>
          <w:p>
            <w:pPr>
              <w:jc w:val="center"/>
              <w:rPr>
                <w:rFonts w:ascii="宋体" w:hAnsi="宋体" w:cs="宋体"/>
                <w:sz w:val="24"/>
                <w:szCs w:val="24"/>
              </w:rPr>
            </w:pPr>
            <w:r>
              <w:rPr>
                <w:rFonts w:hint="eastAsia" w:ascii="宋体" w:hAnsi="宋体" w:cs="宋体"/>
                <w:sz w:val="24"/>
                <w:szCs w:val="24"/>
              </w:rPr>
              <w:t>序号</w:t>
            </w:r>
          </w:p>
        </w:tc>
        <w:tc>
          <w:tcPr>
            <w:tcW w:w="1702" w:type="dxa"/>
            <w:vAlign w:val="center"/>
          </w:tcPr>
          <w:p>
            <w:pPr>
              <w:jc w:val="center"/>
              <w:rPr>
                <w:rFonts w:ascii="宋体" w:hAnsi="宋体" w:cs="宋体"/>
                <w:sz w:val="24"/>
                <w:szCs w:val="24"/>
              </w:rPr>
            </w:pPr>
            <w:r>
              <w:rPr>
                <w:rFonts w:hint="eastAsia" w:ascii="宋体" w:hAnsi="宋体" w:cs="宋体"/>
                <w:sz w:val="24"/>
                <w:szCs w:val="24"/>
              </w:rPr>
              <w:t>买方单位名称</w:t>
            </w:r>
          </w:p>
        </w:tc>
        <w:tc>
          <w:tcPr>
            <w:tcW w:w="1223" w:type="dxa"/>
            <w:vAlign w:val="center"/>
          </w:tcPr>
          <w:p>
            <w:pPr>
              <w:jc w:val="center"/>
              <w:rPr>
                <w:rFonts w:ascii="宋体" w:hAnsi="宋体" w:cs="宋体"/>
                <w:sz w:val="24"/>
                <w:szCs w:val="24"/>
              </w:rPr>
            </w:pPr>
            <w:r>
              <w:rPr>
                <w:rFonts w:hint="eastAsia" w:ascii="宋体" w:hAnsi="宋体" w:cs="宋体"/>
                <w:sz w:val="24"/>
                <w:szCs w:val="24"/>
              </w:rPr>
              <w:t>供货时间</w:t>
            </w:r>
          </w:p>
        </w:tc>
        <w:tc>
          <w:tcPr>
            <w:tcW w:w="1223" w:type="dxa"/>
            <w:vAlign w:val="center"/>
          </w:tcPr>
          <w:p>
            <w:pPr>
              <w:jc w:val="center"/>
              <w:rPr>
                <w:rFonts w:ascii="宋体" w:hAnsi="宋体" w:cs="宋体"/>
                <w:sz w:val="24"/>
                <w:szCs w:val="24"/>
              </w:rPr>
            </w:pPr>
            <w:r>
              <w:rPr>
                <w:rFonts w:hint="eastAsia" w:ascii="宋体" w:hAnsi="宋体" w:cs="宋体"/>
                <w:sz w:val="24"/>
                <w:szCs w:val="24"/>
              </w:rPr>
              <w:t>合同金额</w:t>
            </w:r>
          </w:p>
        </w:tc>
        <w:tc>
          <w:tcPr>
            <w:tcW w:w="2260" w:type="dxa"/>
            <w:vAlign w:val="center"/>
          </w:tcPr>
          <w:p>
            <w:pPr>
              <w:jc w:val="center"/>
              <w:rPr>
                <w:rFonts w:ascii="宋体" w:hAnsi="宋体" w:cs="宋体"/>
                <w:sz w:val="24"/>
                <w:szCs w:val="24"/>
              </w:rPr>
            </w:pPr>
            <w:r>
              <w:rPr>
                <w:rFonts w:hint="eastAsia" w:ascii="宋体" w:hAnsi="宋体" w:cs="宋体"/>
                <w:sz w:val="24"/>
                <w:szCs w:val="24"/>
              </w:rPr>
              <w:t>主要设备</w:t>
            </w:r>
          </w:p>
        </w:tc>
        <w:tc>
          <w:tcPr>
            <w:tcW w:w="1654" w:type="dxa"/>
            <w:vAlign w:val="center"/>
          </w:tcPr>
          <w:p>
            <w:pPr>
              <w:jc w:val="center"/>
              <w:rPr>
                <w:rFonts w:ascii="宋体" w:hAnsi="宋体" w:cs="宋体"/>
                <w:sz w:val="24"/>
                <w:szCs w:val="24"/>
              </w:rPr>
            </w:pPr>
            <w:r>
              <w:rPr>
                <w:rFonts w:hint="eastAsia" w:ascii="宋体" w:hAnsi="宋体" w:cs="宋体"/>
                <w:sz w:val="24"/>
                <w:szCs w:val="24"/>
              </w:rPr>
              <w:t>买方联系人、联系电话</w:t>
            </w:r>
          </w:p>
        </w:tc>
        <w:tc>
          <w:tcPr>
            <w:tcW w:w="1032" w:type="dxa"/>
            <w:vAlign w:val="center"/>
          </w:tcPr>
          <w:p>
            <w:pPr>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42" w:type="dxa"/>
          </w:tcPr>
          <w:p>
            <w:pPr>
              <w:rPr>
                <w:rFonts w:ascii="宋体" w:hAnsi="宋体" w:cs="宋体"/>
                <w:sz w:val="24"/>
                <w:szCs w:val="24"/>
              </w:rPr>
            </w:pPr>
          </w:p>
        </w:tc>
        <w:tc>
          <w:tcPr>
            <w:tcW w:w="1702" w:type="dxa"/>
          </w:tcPr>
          <w:p>
            <w:pPr>
              <w:rPr>
                <w:rFonts w:ascii="宋体" w:hAnsi="宋体" w:cs="宋体"/>
                <w:sz w:val="24"/>
                <w:szCs w:val="24"/>
              </w:rPr>
            </w:pPr>
          </w:p>
        </w:tc>
        <w:tc>
          <w:tcPr>
            <w:tcW w:w="1223" w:type="dxa"/>
          </w:tcPr>
          <w:p>
            <w:pPr>
              <w:rPr>
                <w:rFonts w:ascii="宋体" w:hAnsi="宋体" w:cs="宋体"/>
                <w:sz w:val="24"/>
                <w:szCs w:val="24"/>
              </w:rPr>
            </w:pPr>
          </w:p>
        </w:tc>
        <w:tc>
          <w:tcPr>
            <w:tcW w:w="1223" w:type="dxa"/>
          </w:tcPr>
          <w:p>
            <w:pPr>
              <w:rPr>
                <w:rFonts w:ascii="宋体" w:hAnsi="宋体" w:cs="宋体"/>
                <w:sz w:val="24"/>
                <w:szCs w:val="24"/>
              </w:rPr>
            </w:pPr>
          </w:p>
        </w:tc>
        <w:tc>
          <w:tcPr>
            <w:tcW w:w="2260" w:type="dxa"/>
          </w:tcPr>
          <w:p>
            <w:pPr>
              <w:rPr>
                <w:rFonts w:ascii="宋体" w:hAnsi="宋体" w:cs="宋体"/>
                <w:sz w:val="24"/>
                <w:szCs w:val="24"/>
              </w:rPr>
            </w:pPr>
          </w:p>
        </w:tc>
        <w:tc>
          <w:tcPr>
            <w:tcW w:w="1654" w:type="dxa"/>
          </w:tcPr>
          <w:p>
            <w:pPr>
              <w:rPr>
                <w:rFonts w:ascii="宋体" w:hAnsi="宋体" w:cs="宋体"/>
                <w:sz w:val="24"/>
                <w:szCs w:val="24"/>
              </w:rPr>
            </w:pPr>
          </w:p>
        </w:tc>
        <w:tc>
          <w:tcPr>
            <w:tcW w:w="1032"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42" w:type="dxa"/>
          </w:tcPr>
          <w:p>
            <w:pPr>
              <w:rPr>
                <w:rFonts w:ascii="宋体" w:hAnsi="宋体" w:cs="宋体"/>
                <w:sz w:val="24"/>
                <w:szCs w:val="24"/>
              </w:rPr>
            </w:pPr>
          </w:p>
        </w:tc>
        <w:tc>
          <w:tcPr>
            <w:tcW w:w="1702" w:type="dxa"/>
          </w:tcPr>
          <w:p>
            <w:pPr>
              <w:rPr>
                <w:rFonts w:ascii="宋体" w:hAnsi="宋体" w:cs="宋体"/>
                <w:sz w:val="24"/>
                <w:szCs w:val="24"/>
              </w:rPr>
            </w:pPr>
          </w:p>
        </w:tc>
        <w:tc>
          <w:tcPr>
            <w:tcW w:w="1223" w:type="dxa"/>
          </w:tcPr>
          <w:p>
            <w:pPr>
              <w:rPr>
                <w:rFonts w:ascii="宋体" w:hAnsi="宋体" w:cs="宋体"/>
                <w:sz w:val="24"/>
                <w:szCs w:val="24"/>
              </w:rPr>
            </w:pPr>
          </w:p>
        </w:tc>
        <w:tc>
          <w:tcPr>
            <w:tcW w:w="1223" w:type="dxa"/>
          </w:tcPr>
          <w:p>
            <w:pPr>
              <w:rPr>
                <w:rFonts w:ascii="宋体" w:hAnsi="宋体" w:cs="宋体"/>
                <w:sz w:val="24"/>
                <w:szCs w:val="24"/>
              </w:rPr>
            </w:pPr>
          </w:p>
        </w:tc>
        <w:tc>
          <w:tcPr>
            <w:tcW w:w="2260" w:type="dxa"/>
          </w:tcPr>
          <w:p>
            <w:pPr>
              <w:rPr>
                <w:rFonts w:ascii="宋体" w:hAnsi="宋体" w:cs="宋体"/>
                <w:sz w:val="24"/>
                <w:szCs w:val="24"/>
              </w:rPr>
            </w:pPr>
          </w:p>
        </w:tc>
        <w:tc>
          <w:tcPr>
            <w:tcW w:w="1654" w:type="dxa"/>
          </w:tcPr>
          <w:p>
            <w:pPr>
              <w:rPr>
                <w:rFonts w:ascii="宋体" w:hAnsi="宋体" w:cs="宋体"/>
                <w:sz w:val="24"/>
                <w:szCs w:val="24"/>
              </w:rPr>
            </w:pPr>
          </w:p>
        </w:tc>
        <w:tc>
          <w:tcPr>
            <w:tcW w:w="1032"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42" w:type="dxa"/>
          </w:tcPr>
          <w:p>
            <w:pPr>
              <w:rPr>
                <w:rFonts w:ascii="宋体" w:hAnsi="宋体" w:cs="宋体"/>
                <w:sz w:val="24"/>
                <w:szCs w:val="24"/>
              </w:rPr>
            </w:pPr>
          </w:p>
        </w:tc>
        <w:tc>
          <w:tcPr>
            <w:tcW w:w="1702" w:type="dxa"/>
          </w:tcPr>
          <w:p>
            <w:pPr>
              <w:rPr>
                <w:rFonts w:ascii="宋体" w:hAnsi="宋体" w:cs="宋体"/>
                <w:sz w:val="24"/>
                <w:szCs w:val="24"/>
              </w:rPr>
            </w:pPr>
          </w:p>
        </w:tc>
        <w:tc>
          <w:tcPr>
            <w:tcW w:w="1223" w:type="dxa"/>
          </w:tcPr>
          <w:p>
            <w:pPr>
              <w:rPr>
                <w:rFonts w:ascii="宋体" w:hAnsi="宋体" w:cs="宋体"/>
                <w:sz w:val="24"/>
                <w:szCs w:val="24"/>
              </w:rPr>
            </w:pPr>
          </w:p>
        </w:tc>
        <w:tc>
          <w:tcPr>
            <w:tcW w:w="1223" w:type="dxa"/>
          </w:tcPr>
          <w:p>
            <w:pPr>
              <w:rPr>
                <w:rFonts w:ascii="宋体" w:hAnsi="宋体" w:cs="宋体"/>
                <w:sz w:val="24"/>
                <w:szCs w:val="24"/>
              </w:rPr>
            </w:pPr>
          </w:p>
        </w:tc>
        <w:tc>
          <w:tcPr>
            <w:tcW w:w="2260" w:type="dxa"/>
          </w:tcPr>
          <w:p>
            <w:pPr>
              <w:rPr>
                <w:rFonts w:ascii="宋体" w:hAnsi="宋体" w:cs="宋体"/>
                <w:sz w:val="24"/>
                <w:szCs w:val="24"/>
              </w:rPr>
            </w:pPr>
          </w:p>
        </w:tc>
        <w:tc>
          <w:tcPr>
            <w:tcW w:w="1654" w:type="dxa"/>
          </w:tcPr>
          <w:p>
            <w:pPr>
              <w:rPr>
                <w:rFonts w:ascii="宋体" w:hAnsi="宋体" w:cs="宋体"/>
                <w:sz w:val="24"/>
                <w:szCs w:val="24"/>
              </w:rPr>
            </w:pPr>
          </w:p>
        </w:tc>
        <w:tc>
          <w:tcPr>
            <w:tcW w:w="1032"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42" w:type="dxa"/>
          </w:tcPr>
          <w:p>
            <w:pPr>
              <w:rPr>
                <w:rFonts w:ascii="宋体" w:hAnsi="宋体" w:cs="宋体"/>
                <w:sz w:val="24"/>
                <w:szCs w:val="24"/>
              </w:rPr>
            </w:pPr>
          </w:p>
        </w:tc>
        <w:tc>
          <w:tcPr>
            <w:tcW w:w="1702" w:type="dxa"/>
          </w:tcPr>
          <w:p>
            <w:pPr>
              <w:rPr>
                <w:rFonts w:ascii="宋体" w:hAnsi="宋体" w:cs="宋体"/>
                <w:sz w:val="24"/>
                <w:szCs w:val="24"/>
              </w:rPr>
            </w:pPr>
          </w:p>
        </w:tc>
        <w:tc>
          <w:tcPr>
            <w:tcW w:w="1223" w:type="dxa"/>
          </w:tcPr>
          <w:p>
            <w:pPr>
              <w:rPr>
                <w:rFonts w:ascii="宋体" w:hAnsi="宋体" w:cs="宋体"/>
                <w:sz w:val="24"/>
                <w:szCs w:val="24"/>
              </w:rPr>
            </w:pPr>
          </w:p>
        </w:tc>
        <w:tc>
          <w:tcPr>
            <w:tcW w:w="1223" w:type="dxa"/>
          </w:tcPr>
          <w:p>
            <w:pPr>
              <w:rPr>
                <w:rFonts w:ascii="宋体" w:hAnsi="宋体" w:cs="宋体"/>
                <w:sz w:val="24"/>
                <w:szCs w:val="24"/>
              </w:rPr>
            </w:pPr>
          </w:p>
        </w:tc>
        <w:tc>
          <w:tcPr>
            <w:tcW w:w="2260" w:type="dxa"/>
          </w:tcPr>
          <w:p>
            <w:pPr>
              <w:rPr>
                <w:rFonts w:ascii="宋体" w:hAnsi="宋体" w:cs="宋体"/>
                <w:sz w:val="24"/>
                <w:szCs w:val="24"/>
              </w:rPr>
            </w:pPr>
          </w:p>
        </w:tc>
        <w:tc>
          <w:tcPr>
            <w:tcW w:w="1654" w:type="dxa"/>
          </w:tcPr>
          <w:p>
            <w:pPr>
              <w:rPr>
                <w:rFonts w:ascii="宋体" w:hAnsi="宋体" w:cs="宋体"/>
                <w:sz w:val="24"/>
                <w:szCs w:val="24"/>
              </w:rPr>
            </w:pPr>
          </w:p>
        </w:tc>
        <w:tc>
          <w:tcPr>
            <w:tcW w:w="1032"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42" w:type="dxa"/>
          </w:tcPr>
          <w:p>
            <w:pPr>
              <w:rPr>
                <w:rFonts w:ascii="宋体" w:hAnsi="宋体" w:cs="宋体"/>
                <w:sz w:val="24"/>
                <w:szCs w:val="24"/>
              </w:rPr>
            </w:pPr>
          </w:p>
        </w:tc>
        <w:tc>
          <w:tcPr>
            <w:tcW w:w="1702" w:type="dxa"/>
          </w:tcPr>
          <w:p>
            <w:pPr>
              <w:rPr>
                <w:rFonts w:ascii="宋体" w:hAnsi="宋体" w:cs="宋体"/>
                <w:sz w:val="24"/>
                <w:szCs w:val="24"/>
              </w:rPr>
            </w:pPr>
          </w:p>
        </w:tc>
        <w:tc>
          <w:tcPr>
            <w:tcW w:w="1223" w:type="dxa"/>
          </w:tcPr>
          <w:p>
            <w:pPr>
              <w:rPr>
                <w:rFonts w:ascii="宋体" w:hAnsi="宋体" w:cs="宋体"/>
                <w:sz w:val="24"/>
                <w:szCs w:val="24"/>
              </w:rPr>
            </w:pPr>
          </w:p>
        </w:tc>
        <w:tc>
          <w:tcPr>
            <w:tcW w:w="1223" w:type="dxa"/>
          </w:tcPr>
          <w:p>
            <w:pPr>
              <w:rPr>
                <w:rFonts w:ascii="宋体" w:hAnsi="宋体" w:cs="宋体"/>
                <w:sz w:val="24"/>
                <w:szCs w:val="24"/>
              </w:rPr>
            </w:pPr>
          </w:p>
        </w:tc>
        <w:tc>
          <w:tcPr>
            <w:tcW w:w="2260" w:type="dxa"/>
          </w:tcPr>
          <w:p>
            <w:pPr>
              <w:rPr>
                <w:rFonts w:ascii="宋体" w:hAnsi="宋体" w:cs="宋体"/>
                <w:sz w:val="24"/>
                <w:szCs w:val="24"/>
              </w:rPr>
            </w:pPr>
          </w:p>
        </w:tc>
        <w:tc>
          <w:tcPr>
            <w:tcW w:w="1654" w:type="dxa"/>
          </w:tcPr>
          <w:p>
            <w:pPr>
              <w:rPr>
                <w:rFonts w:ascii="宋体" w:hAnsi="宋体" w:cs="宋体"/>
                <w:sz w:val="24"/>
                <w:szCs w:val="24"/>
              </w:rPr>
            </w:pPr>
          </w:p>
        </w:tc>
        <w:tc>
          <w:tcPr>
            <w:tcW w:w="1032" w:type="dxa"/>
          </w:tcPr>
          <w:p>
            <w:pPr>
              <w:rPr>
                <w:rFonts w:ascii="宋体" w:hAnsi="宋体" w:cs="宋体"/>
                <w:sz w:val="24"/>
                <w:szCs w:val="24"/>
              </w:rPr>
            </w:pPr>
          </w:p>
        </w:tc>
      </w:tr>
    </w:tbl>
    <w:p>
      <w:pPr>
        <w:rPr>
          <w:rFonts w:ascii="宋体" w:hAnsi="宋体" w:cs="宋体"/>
          <w:sz w:val="24"/>
          <w:szCs w:val="24"/>
        </w:rPr>
      </w:pPr>
      <w:r>
        <w:rPr>
          <w:rFonts w:hint="eastAsia" w:ascii="宋体" w:hAnsi="宋体" w:cs="宋体"/>
          <w:sz w:val="24"/>
          <w:szCs w:val="24"/>
        </w:rPr>
        <w:t>备注：请填报与本项目同类的供货业绩；合同签订时间为2021年1月以来；须附供货合同复印件。</w:t>
      </w:r>
    </w:p>
    <w:p>
      <w:pPr>
        <w:jc w:val="center"/>
        <w:rPr>
          <w:rFonts w:ascii="宋体" w:hAnsi="宋体" w:cs="宋体"/>
          <w:b/>
          <w:sz w:val="24"/>
          <w:szCs w:val="24"/>
        </w:rPr>
      </w:pPr>
    </w:p>
    <w:p>
      <w:pPr>
        <w:spacing w:line="520" w:lineRule="exact"/>
        <w:rPr>
          <w:rFonts w:ascii="宋体" w:hAnsi="宋体" w:cs="宋体"/>
          <w:sz w:val="24"/>
          <w:szCs w:val="24"/>
        </w:rPr>
      </w:pPr>
      <w:r>
        <w:rPr>
          <w:rFonts w:hint="eastAsia" w:ascii="宋体" w:hAnsi="宋体" w:cs="宋体"/>
          <w:sz w:val="24"/>
          <w:szCs w:val="24"/>
        </w:rPr>
        <w:t>投标人（加盖公章）：</w:t>
      </w:r>
    </w:p>
    <w:p>
      <w:pPr>
        <w:spacing w:line="520" w:lineRule="exact"/>
        <w:rPr>
          <w:rFonts w:ascii="宋体" w:hAnsi="宋体" w:cs="宋体"/>
          <w:w w:val="90"/>
          <w:sz w:val="24"/>
          <w:szCs w:val="24"/>
          <w:u w:val="single"/>
        </w:rPr>
      </w:pPr>
      <w:r>
        <w:rPr>
          <w:rFonts w:hint="eastAsia" w:ascii="宋体" w:hAnsi="宋体" w:cs="宋体"/>
          <w:sz w:val="24"/>
          <w:szCs w:val="24"/>
        </w:rPr>
        <w:t>法定代表人或其授权委托人（签章）：</w:t>
      </w:r>
    </w:p>
    <w:p>
      <w:pPr>
        <w:snapToGrid w:val="0"/>
        <w:spacing w:line="560" w:lineRule="exact"/>
        <w:jc w:val="left"/>
        <w:rPr>
          <w:rFonts w:ascii="宋体" w:hAnsi="宋体" w:cs="宋体"/>
          <w:sz w:val="24"/>
          <w:szCs w:val="24"/>
        </w:rPr>
      </w:pPr>
      <w:r>
        <w:rPr>
          <w:rFonts w:hint="eastAsia" w:ascii="宋体" w:hAnsi="宋体" w:cs="宋体"/>
          <w:sz w:val="24"/>
          <w:szCs w:val="24"/>
        </w:rPr>
        <w:t>日期：   年  月  日</w:t>
      </w:r>
    </w:p>
    <w:p>
      <w:pPr>
        <w:jc w:val="center"/>
        <w:rPr>
          <w:rFonts w:ascii="宋体" w:hAnsi="宋体" w:cs="宋体"/>
          <w:b/>
          <w:sz w:val="24"/>
          <w:szCs w:val="24"/>
        </w:rPr>
      </w:pPr>
    </w:p>
    <w:p>
      <w:pPr>
        <w:jc w:val="center"/>
        <w:rPr>
          <w:rFonts w:ascii="宋体" w:hAnsi="宋体" w:cs="宋体"/>
          <w:b/>
          <w:bCs/>
          <w:sz w:val="24"/>
          <w:szCs w:val="24"/>
        </w:rPr>
      </w:pPr>
      <w:r>
        <w:rPr>
          <w:rFonts w:hint="eastAsia" w:ascii="宋体" w:hAnsi="宋体" w:cs="宋体"/>
          <w:sz w:val="24"/>
          <w:szCs w:val="24"/>
        </w:rPr>
        <w:br w:type="page"/>
      </w:r>
      <w:r>
        <w:rPr>
          <w:rFonts w:hint="eastAsia"/>
          <w:b/>
          <w:bCs/>
          <w:sz w:val="24"/>
          <w:szCs w:val="24"/>
        </w:rPr>
        <w:t>六 履约保证金退还申请单</w:t>
      </w:r>
    </w:p>
    <w:p>
      <w:pPr>
        <w:pStyle w:val="5"/>
        <w:spacing w:line="400" w:lineRule="exact"/>
        <w:ind w:firstLine="0"/>
        <w:rPr>
          <w:rFonts w:ascii="宋体" w:hAnsi="宋体" w:cs="宋体"/>
          <w:bCs/>
          <w:sz w:val="24"/>
          <w:szCs w:val="24"/>
        </w:rPr>
      </w:pPr>
      <w:r>
        <w:rPr>
          <w:rFonts w:hint="eastAsia" w:ascii="宋体" w:hAnsi="宋体" w:cs="宋体"/>
          <w:bCs/>
          <w:sz w:val="24"/>
          <w:szCs w:val="24"/>
        </w:rPr>
        <w:t>致淮阴工学院：</w:t>
      </w:r>
    </w:p>
    <w:p>
      <w:pPr>
        <w:pStyle w:val="5"/>
        <w:spacing w:line="400" w:lineRule="exact"/>
        <w:ind w:firstLine="453" w:firstLineChars="189"/>
        <w:jc w:val="left"/>
        <w:rPr>
          <w:rFonts w:ascii="宋体" w:hAnsi="宋体" w:cs="宋体"/>
          <w:sz w:val="24"/>
          <w:szCs w:val="24"/>
        </w:rPr>
      </w:pPr>
      <w:r>
        <w:rPr>
          <w:rFonts w:hint="eastAsia" w:ascii="宋体" w:hAnsi="宋体" w:cs="宋体"/>
          <w:sz w:val="24"/>
          <w:szCs w:val="24"/>
        </w:rPr>
        <w:t>我单位中标了贵校组织实施的（项目名称及项目编号             ）的采购活动。目前，我单位已按合同及招标文件的规定、投标文件的承诺履行完成相关义务，项目已经通过贵校验收，符合保证金退还的条件，现向贵校申请退还我单位交纳的本项目履约保证金    元。</w:t>
      </w:r>
    </w:p>
    <w:p>
      <w:pPr>
        <w:spacing w:line="400" w:lineRule="exact"/>
        <w:ind w:firstLine="480" w:firstLineChars="200"/>
        <w:rPr>
          <w:rFonts w:ascii="宋体" w:hAnsi="宋体" w:cs="宋体"/>
          <w:sz w:val="24"/>
          <w:szCs w:val="24"/>
        </w:rPr>
      </w:pPr>
      <w:r>
        <w:rPr>
          <w:rFonts w:hint="eastAsia" w:ascii="宋体" w:hAnsi="宋体" w:cs="宋体"/>
          <w:sz w:val="24"/>
          <w:szCs w:val="24"/>
        </w:rPr>
        <w:t>履约保证金退款具体信息见下表，我单位保证所提供信息的准确性，否则责任自负。</w:t>
      </w:r>
    </w:p>
    <w:tbl>
      <w:tblPr>
        <w:tblStyle w:val="20"/>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hAnsi="宋体" w:cs="宋体"/>
                <w:sz w:val="24"/>
                <w:szCs w:val="24"/>
              </w:rPr>
            </w:pPr>
            <w:r>
              <w:rPr>
                <w:rFonts w:hint="eastAsia" w:ascii="宋体" w:hAnsi="宋体" w:cs="宋体"/>
                <w:sz w:val="24"/>
                <w:szCs w:val="24"/>
              </w:rPr>
              <w:t>单位账户名称</w:t>
            </w:r>
          </w:p>
        </w:tc>
        <w:tc>
          <w:tcPr>
            <w:tcW w:w="5446"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hAnsi="宋体" w:cs="宋体"/>
                <w:sz w:val="24"/>
                <w:szCs w:val="24"/>
              </w:rPr>
            </w:pPr>
            <w:r>
              <w:rPr>
                <w:rFonts w:hint="eastAsia" w:ascii="宋体" w:hAnsi="宋体" w:cs="宋体"/>
                <w:sz w:val="24"/>
                <w:szCs w:val="24"/>
              </w:rPr>
              <w:t>开户行详细信息（具体至支行）</w:t>
            </w:r>
          </w:p>
        </w:tc>
        <w:tc>
          <w:tcPr>
            <w:tcW w:w="5446"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hAnsi="宋体" w:cs="宋体"/>
                <w:sz w:val="24"/>
                <w:szCs w:val="24"/>
              </w:rPr>
            </w:pPr>
            <w:r>
              <w:rPr>
                <w:rFonts w:hint="eastAsia" w:ascii="宋体" w:hAnsi="宋体" w:cs="宋体"/>
                <w:sz w:val="24"/>
                <w:szCs w:val="24"/>
              </w:rPr>
              <w:t>退款账号（退款至原汇款、转账账号）</w:t>
            </w:r>
          </w:p>
        </w:tc>
        <w:tc>
          <w:tcPr>
            <w:tcW w:w="5446"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hAnsi="宋体" w:cs="宋体"/>
                <w:sz w:val="24"/>
                <w:szCs w:val="24"/>
              </w:rPr>
            </w:pPr>
            <w:r>
              <w:rPr>
                <w:rFonts w:hint="eastAsia" w:ascii="宋体" w:hAnsi="宋体" w:cs="宋体"/>
                <w:sz w:val="24"/>
                <w:szCs w:val="24"/>
              </w:rPr>
              <w:t>联系人</w:t>
            </w:r>
          </w:p>
        </w:tc>
        <w:tc>
          <w:tcPr>
            <w:tcW w:w="5446"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hAnsi="宋体" w:cs="宋体"/>
                <w:sz w:val="24"/>
                <w:szCs w:val="24"/>
              </w:rPr>
            </w:pPr>
            <w:r>
              <w:rPr>
                <w:rFonts w:hint="eastAsia" w:ascii="宋体" w:hAnsi="宋体" w:cs="宋体"/>
                <w:sz w:val="24"/>
                <w:szCs w:val="24"/>
              </w:rPr>
              <w:t>联系电话</w:t>
            </w:r>
          </w:p>
        </w:tc>
        <w:tc>
          <w:tcPr>
            <w:tcW w:w="5446" w:type="dxa"/>
            <w:vAlign w:val="center"/>
          </w:tcPr>
          <w:p>
            <w:pPr>
              <w:rPr>
                <w:rFonts w:ascii="宋体" w:hAnsi="宋体" w:cs="宋体"/>
                <w:sz w:val="24"/>
                <w:szCs w:val="24"/>
              </w:rPr>
            </w:pPr>
            <w:r>
              <w:rPr>
                <w:rFonts w:hint="eastAsia" w:ascii="宋体" w:hAnsi="宋体" w:cs="宋体"/>
                <w:sz w:val="24"/>
                <w:szCs w:val="24"/>
              </w:rPr>
              <w:t>手机：办公电话：</w:t>
            </w:r>
          </w:p>
        </w:tc>
      </w:tr>
    </w:tbl>
    <w:p>
      <w:pPr>
        <w:rPr>
          <w:rFonts w:ascii="宋体" w:hAnsi="宋体" w:cs="宋体"/>
          <w:sz w:val="24"/>
          <w:szCs w:val="24"/>
        </w:rPr>
      </w:pPr>
      <w:r>
        <w:rPr>
          <w:rFonts w:hint="eastAsia" w:ascii="宋体" w:hAnsi="宋体" w:cs="宋体"/>
          <w:sz w:val="24"/>
          <w:szCs w:val="24"/>
        </w:rPr>
        <w:t>备注：本项材料不装订在招标文件中，须附履约保证金收据。在通过验收后，向项目使用单位提出申请办理。</w:t>
      </w:r>
    </w:p>
    <w:p>
      <w:pPr>
        <w:spacing w:line="480" w:lineRule="exact"/>
        <w:ind w:firstLine="3840" w:firstLineChars="1600"/>
        <w:rPr>
          <w:rFonts w:ascii="宋体" w:hAnsi="宋体" w:cs="宋体"/>
          <w:sz w:val="24"/>
          <w:szCs w:val="24"/>
        </w:rPr>
      </w:pPr>
      <w:r>
        <w:rPr>
          <w:rFonts w:hint="eastAsia" w:ascii="宋体" w:hAnsi="宋体" w:cs="宋体"/>
          <w:sz w:val="24"/>
          <w:szCs w:val="24"/>
        </w:rPr>
        <w:t>投标人名称：（名称+公章）</w:t>
      </w:r>
    </w:p>
    <w:p>
      <w:pPr>
        <w:spacing w:line="480" w:lineRule="exact"/>
        <w:ind w:firstLine="3840" w:firstLineChars="1600"/>
        <w:rPr>
          <w:rFonts w:ascii="宋体" w:hAnsi="宋体" w:cs="宋体"/>
          <w:sz w:val="24"/>
          <w:szCs w:val="24"/>
        </w:rPr>
      </w:pPr>
      <w:r>
        <w:rPr>
          <w:rFonts w:hint="eastAsia" w:ascii="宋体" w:hAnsi="宋体" w:cs="宋体"/>
          <w:sz w:val="24"/>
          <w:szCs w:val="24"/>
        </w:rPr>
        <w:t>授权委托人（签名）：</w:t>
      </w:r>
    </w:p>
    <w:p>
      <w:pPr>
        <w:spacing w:line="480" w:lineRule="exact"/>
        <w:ind w:firstLine="6240" w:firstLineChars="2600"/>
        <w:rPr>
          <w:rFonts w:ascii="宋体" w:hAnsi="宋体" w:cs="宋体"/>
          <w:sz w:val="24"/>
          <w:szCs w:val="24"/>
        </w:rPr>
      </w:pPr>
      <w:r>
        <w:rPr>
          <w:rFonts w:hint="eastAsia" w:ascii="宋体" w:hAnsi="宋体" w:cs="宋体"/>
          <w:sz w:val="24"/>
          <w:szCs w:val="24"/>
        </w:rPr>
        <w:t>年  月  日</w:t>
      </w:r>
    </w:p>
    <w:p>
      <w:pPr>
        <w:jc w:val="center"/>
        <w:rPr>
          <w:b/>
          <w:bCs/>
          <w:sz w:val="24"/>
          <w:szCs w:val="24"/>
        </w:rPr>
      </w:pPr>
      <w:r>
        <w:rPr>
          <w:rFonts w:hint="eastAsia"/>
          <w:b/>
          <w:bCs/>
          <w:sz w:val="24"/>
          <w:szCs w:val="24"/>
        </w:rPr>
        <w:t>履约保证金退还流程表</w:t>
      </w:r>
    </w:p>
    <w:tbl>
      <w:tblPr>
        <w:tblStyle w:val="20"/>
        <w:tblW w:w="8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6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1904" w:type="dxa"/>
            <w:vAlign w:val="center"/>
          </w:tcPr>
          <w:p>
            <w:pPr>
              <w:ind w:left="360" w:hanging="360" w:hangingChars="150"/>
              <w:jc w:val="center"/>
              <w:rPr>
                <w:rFonts w:ascii="宋体" w:hAnsi="宋体" w:cs="宋体"/>
                <w:sz w:val="24"/>
                <w:szCs w:val="24"/>
              </w:rPr>
            </w:pPr>
            <w:r>
              <w:rPr>
                <w:rFonts w:hint="eastAsia" w:ascii="宋体" w:hAnsi="宋体" w:cs="宋体"/>
                <w:sz w:val="24"/>
                <w:szCs w:val="24"/>
              </w:rPr>
              <w:t>项目使用单位</w:t>
            </w:r>
          </w:p>
          <w:p>
            <w:pPr>
              <w:ind w:left="360" w:hanging="360" w:hangingChars="150"/>
              <w:jc w:val="center"/>
              <w:rPr>
                <w:rFonts w:ascii="宋体" w:hAnsi="宋体" w:cs="宋体"/>
                <w:sz w:val="24"/>
                <w:szCs w:val="24"/>
              </w:rPr>
            </w:pPr>
            <w:r>
              <w:rPr>
                <w:rFonts w:hint="eastAsia" w:ascii="宋体" w:hAnsi="宋体" w:cs="宋体"/>
                <w:sz w:val="24"/>
                <w:szCs w:val="24"/>
              </w:rPr>
              <w:t>经办人意见</w:t>
            </w:r>
          </w:p>
        </w:tc>
        <w:tc>
          <w:tcPr>
            <w:tcW w:w="6215" w:type="dxa"/>
            <w:vAlign w:val="center"/>
          </w:tcPr>
          <w:p>
            <w:pPr>
              <w:rPr>
                <w:rFonts w:ascii="宋体" w:hAnsi="宋体" w:cs="宋体"/>
                <w:sz w:val="24"/>
                <w:szCs w:val="24"/>
              </w:rPr>
            </w:pPr>
            <w:r>
              <w:rPr>
                <w:rFonts w:hint="eastAsia" w:ascii="宋体" w:hAnsi="宋体" w:cs="宋体"/>
                <w:sz w:val="24"/>
                <w:szCs w:val="24"/>
              </w:rPr>
              <w:t>（是否通过验收）</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1904" w:type="dxa"/>
            <w:vAlign w:val="center"/>
          </w:tcPr>
          <w:p>
            <w:pPr>
              <w:jc w:val="center"/>
              <w:rPr>
                <w:rFonts w:ascii="宋体" w:hAnsi="宋体" w:cs="宋体"/>
                <w:sz w:val="24"/>
                <w:szCs w:val="24"/>
              </w:rPr>
            </w:pPr>
            <w:r>
              <w:rPr>
                <w:rFonts w:hint="eastAsia" w:ascii="宋体" w:hAnsi="宋体" w:cs="宋体"/>
                <w:sz w:val="24"/>
                <w:szCs w:val="24"/>
              </w:rPr>
              <w:t>项目使用单位</w:t>
            </w:r>
          </w:p>
          <w:p>
            <w:pPr>
              <w:jc w:val="center"/>
              <w:rPr>
                <w:rFonts w:ascii="宋体" w:hAnsi="宋体" w:cs="宋体"/>
                <w:sz w:val="24"/>
                <w:szCs w:val="24"/>
              </w:rPr>
            </w:pPr>
            <w:r>
              <w:rPr>
                <w:rFonts w:hint="eastAsia" w:ascii="宋体" w:hAnsi="宋体" w:cs="宋体"/>
                <w:sz w:val="24"/>
                <w:szCs w:val="24"/>
              </w:rPr>
              <w:t>分管负责人意见</w:t>
            </w:r>
          </w:p>
        </w:tc>
        <w:tc>
          <w:tcPr>
            <w:tcW w:w="6215" w:type="dxa"/>
            <w:vAlign w:val="center"/>
          </w:tcPr>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1904" w:type="dxa"/>
            <w:vAlign w:val="center"/>
          </w:tcPr>
          <w:p>
            <w:pPr>
              <w:jc w:val="center"/>
              <w:rPr>
                <w:rFonts w:ascii="宋体" w:hAnsi="宋体" w:cs="宋体"/>
                <w:sz w:val="24"/>
                <w:szCs w:val="24"/>
              </w:rPr>
            </w:pPr>
            <w:r>
              <w:rPr>
                <w:rFonts w:hint="eastAsia" w:ascii="宋体" w:hAnsi="宋体" w:cs="宋体"/>
                <w:sz w:val="24"/>
                <w:szCs w:val="24"/>
              </w:rPr>
              <w:t>项目主管部门</w:t>
            </w:r>
          </w:p>
          <w:p>
            <w:pPr>
              <w:jc w:val="center"/>
              <w:rPr>
                <w:rFonts w:ascii="宋体" w:hAnsi="宋体" w:cs="宋体"/>
                <w:sz w:val="24"/>
                <w:szCs w:val="24"/>
              </w:rPr>
            </w:pPr>
            <w:r>
              <w:rPr>
                <w:rFonts w:hint="eastAsia" w:ascii="宋体" w:hAnsi="宋体" w:cs="宋体"/>
                <w:sz w:val="24"/>
                <w:szCs w:val="24"/>
              </w:rPr>
              <w:t>意见</w:t>
            </w:r>
          </w:p>
        </w:tc>
        <w:tc>
          <w:tcPr>
            <w:tcW w:w="6215" w:type="dxa"/>
            <w:vAlign w:val="center"/>
          </w:tcPr>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负责人：          年  月  日</w:t>
            </w:r>
          </w:p>
        </w:tc>
      </w:tr>
    </w:tbl>
    <w:p>
      <w:pPr>
        <w:rPr>
          <w:rFonts w:ascii="宋体" w:hAnsi="宋体" w:cs="宋体"/>
          <w:sz w:val="24"/>
          <w:szCs w:val="24"/>
        </w:rPr>
      </w:pPr>
      <w:r>
        <w:rPr>
          <w:rFonts w:hint="eastAsia" w:ascii="宋体" w:hAnsi="宋体" w:cs="宋体"/>
          <w:sz w:val="24"/>
          <w:szCs w:val="24"/>
        </w:rPr>
        <w:br w:type="page"/>
      </w:r>
    </w:p>
    <w:p>
      <w:pPr>
        <w:widowControl w:val="0"/>
        <w:spacing w:line="640" w:lineRule="exact"/>
        <w:ind w:firstLine="2280" w:firstLineChars="950"/>
        <w:rPr>
          <w:rFonts w:ascii="宋体" w:hAnsi="宋体" w:cs="宋体"/>
          <w:bCs/>
          <w:kern w:val="2"/>
          <w:sz w:val="24"/>
          <w:szCs w:val="24"/>
        </w:rPr>
      </w:pPr>
      <w:r>
        <w:rPr>
          <w:rFonts w:hint="eastAsia" w:ascii="宋体" w:hAnsi="宋体" w:cs="宋体"/>
          <w:bCs/>
          <w:kern w:val="2"/>
          <w:sz w:val="24"/>
          <w:szCs w:val="24"/>
        </w:rPr>
        <w:t>七 供 应 商 参 与 投 标 确 认 函</w:t>
      </w:r>
    </w:p>
    <w:p>
      <w:pPr>
        <w:widowControl w:val="0"/>
        <w:jc w:val="center"/>
        <w:rPr>
          <w:rFonts w:ascii="宋体" w:hAnsi="宋体" w:cs="宋体"/>
          <w:b/>
          <w:kern w:val="2"/>
          <w:sz w:val="24"/>
          <w:szCs w:val="24"/>
        </w:rPr>
      </w:pPr>
      <w:r>
        <w:rPr>
          <w:rFonts w:hint="eastAsia" w:ascii="宋体" w:hAnsi="宋体" w:cs="宋体"/>
          <w:kern w:val="2"/>
          <w:sz w:val="24"/>
          <w:szCs w:val="24"/>
        </w:rPr>
        <w:t>（提供WORD电子文档）</w:t>
      </w:r>
    </w:p>
    <w:p>
      <w:pPr>
        <w:widowControl w:val="0"/>
        <w:jc w:val="center"/>
        <w:rPr>
          <w:rFonts w:ascii="宋体" w:hAnsi="宋体" w:cs="宋体"/>
          <w:b/>
          <w:kern w:val="2"/>
          <w:sz w:val="24"/>
          <w:szCs w:val="24"/>
        </w:rPr>
      </w:pPr>
    </w:p>
    <w:p>
      <w:pPr>
        <w:widowControl w:val="0"/>
        <w:rPr>
          <w:rFonts w:ascii="宋体" w:hAnsi="宋体" w:cs="宋体"/>
          <w:kern w:val="2"/>
          <w:sz w:val="24"/>
          <w:szCs w:val="24"/>
        </w:rPr>
      </w:pPr>
      <w:r>
        <w:rPr>
          <w:rFonts w:hint="eastAsia" w:ascii="宋体" w:hAnsi="宋体" w:cs="宋体"/>
          <w:kern w:val="2"/>
          <w:sz w:val="24"/>
          <w:szCs w:val="24"/>
        </w:rPr>
        <w:t>淮阴工学院：</w:t>
      </w:r>
    </w:p>
    <w:p>
      <w:pPr>
        <w:widowControl w:val="0"/>
        <w:ind w:firstLine="480" w:firstLineChars="200"/>
        <w:rPr>
          <w:rFonts w:ascii="宋体" w:hAnsi="宋体" w:cs="宋体"/>
          <w:kern w:val="2"/>
          <w:sz w:val="24"/>
          <w:szCs w:val="24"/>
        </w:rPr>
      </w:pPr>
      <w:r>
        <w:rPr>
          <w:rFonts w:hint="eastAsia" w:ascii="宋体" w:hAnsi="宋体" w:cs="宋体"/>
          <w:kern w:val="2"/>
          <w:sz w:val="24"/>
          <w:szCs w:val="24"/>
        </w:rPr>
        <w:t>我单位将参与采购项目（项目编号：          ）的投标，现已在</w:t>
      </w:r>
      <w:r>
        <w:rPr>
          <w:rFonts w:hint="eastAsia" w:ascii="宋体" w:hAnsi="宋体" w:cs="宋体"/>
          <w:kern w:val="2"/>
          <w:sz w:val="24"/>
          <w:szCs w:val="24"/>
          <w:lang w:eastAsia="zh-CN"/>
        </w:rPr>
        <w:t>（</w:t>
      </w:r>
      <w:r>
        <w:rPr>
          <w:rFonts w:hint="eastAsia" w:ascii="宋体" w:hAnsi="宋体" w:cs="宋体"/>
          <w:kern w:val="2"/>
          <w:sz w:val="24"/>
          <w:szCs w:val="24"/>
        </w:rPr>
        <w:t>中国政府采购网</w:t>
      </w:r>
      <w:r>
        <w:rPr>
          <w:rFonts w:hint="eastAsia" w:ascii="宋体" w:hAnsi="宋体" w:cs="宋体"/>
          <w:kern w:val="2"/>
          <w:sz w:val="24"/>
          <w:szCs w:val="24"/>
          <w:lang w:val="en-US" w:eastAsia="zh-CN"/>
        </w:rPr>
        <w:t>或</w:t>
      </w:r>
      <w:r>
        <w:rPr>
          <w:rFonts w:hint="eastAsia" w:ascii="宋体" w:hAnsi="宋体" w:cs="宋体"/>
          <w:kern w:val="2"/>
          <w:sz w:val="24"/>
          <w:szCs w:val="24"/>
        </w:rPr>
        <w:t>淮阴工学院网站</w:t>
      </w:r>
      <w:r>
        <w:rPr>
          <w:rFonts w:hint="eastAsia" w:ascii="宋体" w:hAnsi="宋体" w:cs="宋体"/>
          <w:kern w:val="2"/>
          <w:sz w:val="24"/>
          <w:szCs w:val="24"/>
          <w:lang w:eastAsia="zh-CN"/>
        </w:rPr>
        <w:t>）</w:t>
      </w:r>
      <w:r>
        <w:rPr>
          <w:rFonts w:hint="eastAsia" w:ascii="宋体" w:hAnsi="宋体" w:cs="宋体"/>
          <w:kern w:val="2"/>
          <w:sz w:val="24"/>
          <w:szCs w:val="24"/>
        </w:rPr>
        <w:t>下载招标文件，特发函确认。</w:t>
      </w:r>
    </w:p>
    <w:p>
      <w:pPr>
        <w:widowControl w:val="0"/>
        <w:ind w:firstLine="480" w:firstLineChars="200"/>
        <w:rPr>
          <w:rFonts w:ascii="宋体" w:hAnsi="宋体" w:cs="宋体"/>
          <w:sz w:val="24"/>
          <w:szCs w:val="24"/>
        </w:rPr>
      </w:pPr>
      <w:r>
        <w:rPr>
          <w:rFonts w:hint="eastAsia" w:ascii="宋体" w:hAnsi="宋体" w:cs="宋体"/>
          <w:kern w:val="2"/>
          <w:sz w:val="24"/>
          <w:szCs w:val="24"/>
        </w:rPr>
        <w:t>供应商名称：                      办公电话：</w:t>
      </w:r>
    </w:p>
    <w:p>
      <w:pPr>
        <w:widowControl w:val="0"/>
        <w:ind w:firstLine="480" w:firstLineChars="200"/>
        <w:rPr>
          <w:rFonts w:ascii="宋体" w:hAnsi="宋体" w:cs="宋体"/>
          <w:kern w:val="2"/>
          <w:sz w:val="24"/>
          <w:szCs w:val="24"/>
        </w:rPr>
      </w:pPr>
      <w:r>
        <w:rPr>
          <w:rFonts w:hint="eastAsia" w:ascii="宋体" w:hAnsi="宋体" w:cs="宋体"/>
          <w:kern w:val="2"/>
          <w:sz w:val="24"/>
          <w:szCs w:val="24"/>
        </w:rPr>
        <w:t>单位地址：</w:t>
      </w:r>
    </w:p>
    <w:p>
      <w:pPr>
        <w:widowControl w:val="0"/>
        <w:ind w:firstLine="480" w:firstLineChars="200"/>
        <w:rPr>
          <w:rFonts w:ascii="宋体" w:hAnsi="宋体" w:cs="宋体"/>
          <w:kern w:val="2"/>
          <w:sz w:val="24"/>
          <w:szCs w:val="24"/>
        </w:rPr>
      </w:pPr>
      <w:r>
        <w:rPr>
          <w:rFonts w:hint="eastAsia" w:ascii="宋体" w:hAnsi="宋体" w:cs="宋体"/>
          <w:kern w:val="2"/>
          <w:sz w:val="24"/>
          <w:szCs w:val="24"/>
        </w:rPr>
        <w:t>授权委托人：</w:t>
      </w:r>
    </w:p>
    <w:p>
      <w:pPr>
        <w:widowControl w:val="0"/>
        <w:ind w:firstLine="600"/>
        <w:rPr>
          <w:rFonts w:ascii="宋体" w:hAnsi="宋体" w:cs="宋体"/>
          <w:kern w:val="2"/>
          <w:sz w:val="24"/>
          <w:szCs w:val="24"/>
        </w:rPr>
      </w:pPr>
      <w:r>
        <w:rPr>
          <w:rFonts w:hint="eastAsia" w:ascii="宋体" w:hAnsi="宋体" w:cs="宋体"/>
          <w:kern w:val="2"/>
          <w:sz w:val="24"/>
          <w:szCs w:val="24"/>
        </w:rPr>
        <w:t>授权委托人移动电话：</w:t>
      </w:r>
    </w:p>
    <w:p>
      <w:pPr>
        <w:widowControl w:val="0"/>
        <w:ind w:firstLine="600"/>
        <w:rPr>
          <w:rFonts w:ascii="宋体" w:hAnsi="宋体" w:cs="宋体"/>
          <w:kern w:val="2"/>
          <w:sz w:val="24"/>
          <w:szCs w:val="24"/>
        </w:rPr>
      </w:pPr>
      <w:r>
        <w:rPr>
          <w:rFonts w:hint="eastAsia" w:ascii="宋体" w:hAnsi="宋体" w:cs="宋体"/>
          <w:kern w:val="2"/>
          <w:sz w:val="24"/>
          <w:szCs w:val="24"/>
        </w:rPr>
        <w:t>电子邮箱：</w:t>
      </w:r>
    </w:p>
    <w:p>
      <w:pPr>
        <w:widowControl w:val="0"/>
        <w:spacing w:line="360" w:lineRule="auto"/>
        <w:ind w:firstLine="480" w:firstLineChars="200"/>
        <w:rPr>
          <w:rFonts w:ascii="宋体" w:hAnsi="宋体" w:cs="宋体"/>
          <w:kern w:val="2"/>
          <w:sz w:val="24"/>
          <w:szCs w:val="24"/>
          <w:lang w:val="zh-CN"/>
        </w:rPr>
      </w:pPr>
    </w:p>
    <w:p>
      <w:pPr>
        <w:widowControl w:val="0"/>
        <w:ind w:left="4080" w:hanging="4080" w:hangingChars="1700"/>
        <w:jc w:val="right"/>
        <w:rPr>
          <w:rFonts w:ascii="宋体" w:hAnsi="宋体" w:cs="宋体"/>
          <w:kern w:val="2"/>
          <w:sz w:val="24"/>
          <w:szCs w:val="24"/>
        </w:rPr>
      </w:pPr>
    </w:p>
    <w:p>
      <w:pPr>
        <w:widowControl w:val="0"/>
        <w:jc w:val="center"/>
        <w:rPr>
          <w:rFonts w:ascii="宋体" w:hAnsi="宋体" w:cs="宋体"/>
          <w:kern w:val="2"/>
          <w:sz w:val="24"/>
          <w:szCs w:val="24"/>
        </w:rPr>
      </w:pPr>
      <w:r>
        <w:rPr>
          <w:rFonts w:hint="eastAsia" w:ascii="宋体" w:hAnsi="宋体" w:cs="宋体"/>
          <w:kern w:val="2"/>
          <w:sz w:val="24"/>
          <w:szCs w:val="24"/>
        </w:rPr>
        <w:t xml:space="preserve">                                            年　月　日</w:t>
      </w:r>
    </w:p>
    <w:p>
      <w:pPr>
        <w:pStyle w:val="2"/>
        <w:ind w:firstLine="0" w:firstLineChars="0"/>
        <w:rPr>
          <w:rFonts w:ascii="宋体" w:hAnsi="宋体" w:cs="宋体"/>
          <w:szCs w:val="24"/>
          <w:lang w:val="en-US"/>
        </w:rPr>
      </w:pPr>
    </w:p>
    <w:sectPr>
      <w:footerReference r:id="rId3" w:type="default"/>
      <w:footerReference r:id="rId4" w:type="even"/>
      <w:pgSz w:w="11907" w:h="16840"/>
      <w:pgMar w:top="1440" w:right="1080" w:bottom="1440" w:left="1080"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E0182EE-4DC9-4D0A-BA81-2D84DB37D3FF}"/>
  </w:font>
  <w:font w:name="黑体">
    <w:panose1 w:val="02010609060101010101"/>
    <w:charset w:val="86"/>
    <w:family w:val="auto"/>
    <w:pitch w:val="default"/>
    <w:sig w:usb0="800002BF" w:usb1="38CF7CFA" w:usb2="00000016" w:usb3="00000000" w:csb0="00040001" w:csb1="00000000"/>
    <w:embedRegular r:id="rId2" w:fontKey="{B1E87006-8954-4E0F-ADBF-C1A22CE7D54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黑体"/>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BC01E517-A708-4CBA-8493-5869071EEFAF}"/>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28</w:t>
    </w:r>
    <w:r>
      <w:rPr>
        <w:lang w:val="zh-CN"/>
      </w:rPr>
      <w:fldChar w:fldCharType="end"/>
    </w:r>
  </w:p>
  <w:p>
    <w:pPr>
      <w:pStyle w:val="1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79733D"/>
    <w:multiLevelType w:val="singleLevel"/>
    <w:tmpl w:val="D779733D"/>
    <w:lvl w:ilvl="0" w:tentative="0">
      <w:start w:val="1"/>
      <w:numFmt w:val="decimal"/>
      <w:lvlText w:val="%1."/>
      <w:lvlJc w:val="left"/>
      <w:pPr>
        <w:tabs>
          <w:tab w:val="left" w:pos="312"/>
        </w:tabs>
      </w:pPr>
    </w:lvl>
  </w:abstractNum>
  <w:abstractNum w:abstractNumId="1">
    <w:nsid w:val="39022F17"/>
    <w:multiLevelType w:val="singleLevel"/>
    <w:tmpl w:val="39022F17"/>
    <w:lvl w:ilvl="0" w:tentative="0">
      <w:start w:val="1"/>
      <w:numFmt w:val="decimal"/>
      <w:lvlText w:val="%1."/>
      <w:lvlJc w:val="left"/>
      <w:pPr>
        <w:tabs>
          <w:tab w:val="left" w:pos="312"/>
        </w:tabs>
      </w:pPr>
    </w:lvl>
  </w:abstractNum>
  <w:abstractNum w:abstractNumId="2">
    <w:nsid w:val="5D57376D"/>
    <w:multiLevelType w:val="singleLevel"/>
    <w:tmpl w:val="5D57376D"/>
    <w:lvl w:ilvl="0" w:tentative="0">
      <w:start w:val="1"/>
      <w:numFmt w:val="chineseCounting"/>
      <w:suff w:val="space"/>
      <w:lvlText w:val="第%1章"/>
      <w:lvlJc w:val="left"/>
      <w:rPr>
        <w:rFonts w:hint="eastAsia"/>
      </w:rPr>
    </w:lvl>
  </w:abstractNum>
  <w:abstractNum w:abstractNumId="3">
    <w:nsid w:val="788687BD"/>
    <w:multiLevelType w:val="singleLevel"/>
    <w:tmpl w:val="788687BD"/>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hideSpellingError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4N2YzYjBlMDUzMDc2YjgzNWQzZDNjMjU1ZGZhMWMifQ=="/>
  </w:docVars>
  <w:rsids>
    <w:rsidRoot w:val="004F3E4E"/>
    <w:rsid w:val="00000F8B"/>
    <w:rsid w:val="00002232"/>
    <w:rsid w:val="000023D8"/>
    <w:rsid w:val="00002DE3"/>
    <w:rsid w:val="00003108"/>
    <w:rsid w:val="0000552F"/>
    <w:rsid w:val="00005879"/>
    <w:rsid w:val="0000634E"/>
    <w:rsid w:val="00006389"/>
    <w:rsid w:val="00006AFA"/>
    <w:rsid w:val="000100ED"/>
    <w:rsid w:val="00014005"/>
    <w:rsid w:val="000141B7"/>
    <w:rsid w:val="000144E9"/>
    <w:rsid w:val="000157D6"/>
    <w:rsid w:val="00015C7A"/>
    <w:rsid w:val="0001652A"/>
    <w:rsid w:val="00017565"/>
    <w:rsid w:val="00017890"/>
    <w:rsid w:val="000206AD"/>
    <w:rsid w:val="00023C34"/>
    <w:rsid w:val="00023F0B"/>
    <w:rsid w:val="000242A0"/>
    <w:rsid w:val="00025998"/>
    <w:rsid w:val="000261E1"/>
    <w:rsid w:val="000265D9"/>
    <w:rsid w:val="00027B70"/>
    <w:rsid w:val="00027BE0"/>
    <w:rsid w:val="00030BFE"/>
    <w:rsid w:val="000342F2"/>
    <w:rsid w:val="0003470B"/>
    <w:rsid w:val="00034DF1"/>
    <w:rsid w:val="00034EBC"/>
    <w:rsid w:val="0003539F"/>
    <w:rsid w:val="00035CFA"/>
    <w:rsid w:val="00037A44"/>
    <w:rsid w:val="00040928"/>
    <w:rsid w:val="000433B2"/>
    <w:rsid w:val="00043E32"/>
    <w:rsid w:val="000448C2"/>
    <w:rsid w:val="00045B5E"/>
    <w:rsid w:val="00045F5A"/>
    <w:rsid w:val="000460FD"/>
    <w:rsid w:val="00046290"/>
    <w:rsid w:val="00046C5C"/>
    <w:rsid w:val="000478B3"/>
    <w:rsid w:val="00047B69"/>
    <w:rsid w:val="00047E25"/>
    <w:rsid w:val="000517D2"/>
    <w:rsid w:val="00052E37"/>
    <w:rsid w:val="00053842"/>
    <w:rsid w:val="00055323"/>
    <w:rsid w:val="0005540F"/>
    <w:rsid w:val="000554C7"/>
    <w:rsid w:val="00056E5E"/>
    <w:rsid w:val="00056FF7"/>
    <w:rsid w:val="00060387"/>
    <w:rsid w:val="0006064C"/>
    <w:rsid w:val="00061FE6"/>
    <w:rsid w:val="00062965"/>
    <w:rsid w:val="00064684"/>
    <w:rsid w:val="00065608"/>
    <w:rsid w:val="00065A65"/>
    <w:rsid w:val="00066003"/>
    <w:rsid w:val="0007143D"/>
    <w:rsid w:val="00071B54"/>
    <w:rsid w:val="00071D88"/>
    <w:rsid w:val="00073BF5"/>
    <w:rsid w:val="00075395"/>
    <w:rsid w:val="0007566C"/>
    <w:rsid w:val="000757FF"/>
    <w:rsid w:val="00080CE6"/>
    <w:rsid w:val="00081A98"/>
    <w:rsid w:val="00081C08"/>
    <w:rsid w:val="000829AC"/>
    <w:rsid w:val="0008326B"/>
    <w:rsid w:val="00083BB2"/>
    <w:rsid w:val="00084E6C"/>
    <w:rsid w:val="00085295"/>
    <w:rsid w:val="000862D6"/>
    <w:rsid w:val="000865C6"/>
    <w:rsid w:val="00086609"/>
    <w:rsid w:val="00086F10"/>
    <w:rsid w:val="00087B26"/>
    <w:rsid w:val="00090767"/>
    <w:rsid w:val="00090BFC"/>
    <w:rsid w:val="00091135"/>
    <w:rsid w:val="00091A0E"/>
    <w:rsid w:val="00092991"/>
    <w:rsid w:val="00092CEE"/>
    <w:rsid w:val="000932D3"/>
    <w:rsid w:val="00094DFE"/>
    <w:rsid w:val="000964E7"/>
    <w:rsid w:val="000968B8"/>
    <w:rsid w:val="00096917"/>
    <w:rsid w:val="00097339"/>
    <w:rsid w:val="00097AD0"/>
    <w:rsid w:val="00097CB8"/>
    <w:rsid w:val="000A1C36"/>
    <w:rsid w:val="000A3342"/>
    <w:rsid w:val="000A3585"/>
    <w:rsid w:val="000A3ABA"/>
    <w:rsid w:val="000A3FF3"/>
    <w:rsid w:val="000B032C"/>
    <w:rsid w:val="000B0C7B"/>
    <w:rsid w:val="000B31FE"/>
    <w:rsid w:val="000B43D7"/>
    <w:rsid w:val="000B4DD7"/>
    <w:rsid w:val="000B4DFE"/>
    <w:rsid w:val="000B59A0"/>
    <w:rsid w:val="000B686E"/>
    <w:rsid w:val="000B7F28"/>
    <w:rsid w:val="000C220D"/>
    <w:rsid w:val="000C3243"/>
    <w:rsid w:val="000C3249"/>
    <w:rsid w:val="000C3DB4"/>
    <w:rsid w:val="000C57FF"/>
    <w:rsid w:val="000C5CCA"/>
    <w:rsid w:val="000C70E3"/>
    <w:rsid w:val="000C7B20"/>
    <w:rsid w:val="000D1005"/>
    <w:rsid w:val="000D2476"/>
    <w:rsid w:val="000D2847"/>
    <w:rsid w:val="000D3012"/>
    <w:rsid w:val="000D4202"/>
    <w:rsid w:val="000D48F6"/>
    <w:rsid w:val="000D5979"/>
    <w:rsid w:val="000D5EBC"/>
    <w:rsid w:val="000D7925"/>
    <w:rsid w:val="000D7995"/>
    <w:rsid w:val="000D7AB2"/>
    <w:rsid w:val="000D7BA1"/>
    <w:rsid w:val="000E023D"/>
    <w:rsid w:val="000E0249"/>
    <w:rsid w:val="000E0648"/>
    <w:rsid w:val="000E081D"/>
    <w:rsid w:val="000E09EE"/>
    <w:rsid w:val="000E0C25"/>
    <w:rsid w:val="000E120A"/>
    <w:rsid w:val="000E220B"/>
    <w:rsid w:val="000E2989"/>
    <w:rsid w:val="000E2C68"/>
    <w:rsid w:val="000E4162"/>
    <w:rsid w:val="000E422E"/>
    <w:rsid w:val="000E425B"/>
    <w:rsid w:val="000E4CF8"/>
    <w:rsid w:val="000E52EE"/>
    <w:rsid w:val="000E63B7"/>
    <w:rsid w:val="000E77D8"/>
    <w:rsid w:val="000F1A6A"/>
    <w:rsid w:val="000F32D6"/>
    <w:rsid w:val="000F41B2"/>
    <w:rsid w:val="000F5634"/>
    <w:rsid w:val="000F7F15"/>
    <w:rsid w:val="00100B54"/>
    <w:rsid w:val="00101294"/>
    <w:rsid w:val="00101CF2"/>
    <w:rsid w:val="00102E07"/>
    <w:rsid w:val="00103257"/>
    <w:rsid w:val="00103B6E"/>
    <w:rsid w:val="00104A8C"/>
    <w:rsid w:val="00104B67"/>
    <w:rsid w:val="00104B82"/>
    <w:rsid w:val="00104C50"/>
    <w:rsid w:val="00104C97"/>
    <w:rsid w:val="00104EBA"/>
    <w:rsid w:val="00106180"/>
    <w:rsid w:val="00106A49"/>
    <w:rsid w:val="00112488"/>
    <w:rsid w:val="0011293B"/>
    <w:rsid w:val="00113748"/>
    <w:rsid w:val="00113B37"/>
    <w:rsid w:val="00113C7A"/>
    <w:rsid w:val="001148FC"/>
    <w:rsid w:val="00114D13"/>
    <w:rsid w:val="0011521A"/>
    <w:rsid w:val="001158A8"/>
    <w:rsid w:val="00116609"/>
    <w:rsid w:val="001221AC"/>
    <w:rsid w:val="00123833"/>
    <w:rsid w:val="00126F6D"/>
    <w:rsid w:val="001273A0"/>
    <w:rsid w:val="00131CF5"/>
    <w:rsid w:val="00132001"/>
    <w:rsid w:val="0013399A"/>
    <w:rsid w:val="00134ADE"/>
    <w:rsid w:val="00135F84"/>
    <w:rsid w:val="001405AB"/>
    <w:rsid w:val="00140C51"/>
    <w:rsid w:val="00142198"/>
    <w:rsid w:val="0014253A"/>
    <w:rsid w:val="0014296F"/>
    <w:rsid w:val="00144EFB"/>
    <w:rsid w:val="00146027"/>
    <w:rsid w:val="00146573"/>
    <w:rsid w:val="001470D4"/>
    <w:rsid w:val="001472D4"/>
    <w:rsid w:val="001479D5"/>
    <w:rsid w:val="00150973"/>
    <w:rsid w:val="00150DC5"/>
    <w:rsid w:val="00151152"/>
    <w:rsid w:val="00151324"/>
    <w:rsid w:val="001515F4"/>
    <w:rsid w:val="001516FC"/>
    <w:rsid w:val="00152584"/>
    <w:rsid w:val="00152DB1"/>
    <w:rsid w:val="0015312B"/>
    <w:rsid w:val="001543B5"/>
    <w:rsid w:val="00154A97"/>
    <w:rsid w:val="0015641A"/>
    <w:rsid w:val="00156A0F"/>
    <w:rsid w:val="00156B5D"/>
    <w:rsid w:val="00162994"/>
    <w:rsid w:val="0016513E"/>
    <w:rsid w:val="00165144"/>
    <w:rsid w:val="0016544C"/>
    <w:rsid w:val="00165EE7"/>
    <w:rsid w:val="00170627"/>
    <w:rsid w:val="001706A3"/>
    <w:rsid w:val="001709E5"/>
    <w:rsid w:val="00172174"/>
    <w:rsid w:val="001721DD"/>
    <w:rsid w:val="001738B1"/>
    <w:rsid w:val="001767F2"/>
    <w:rsid w:val="00176A63"/>
    <w:rsid w:val="001770D4"/>
    <w:rsid w:val="00180F24"/>
    <w:rsid w:val="00182B40"/>
    <w:rsid w:val="00183749"/>
    <w:rsid w:val="00183B90"/>
    <w:rsid w:val="00184BC8"/>
    <w:rsid w:val="0018524D"/>
    <w:rsid w:val="00185DE1"/>
    <w:rsid w:val="00187CF2"/>
    <w:rsid w:val="00190D36"/>
    <w:rsid w:val="00193C79"/>
    <w:rsid w:val="00193E50"/>
    <w:rsid w:val="00195F82"/>
    <w:rsid w:val="001969E5"/>
    <w:rsid w:val="00196B92"/>
    <w:rsid w:val="00196F36"/>
    <w:rsid w:val="001A1AA6"/>
    <w:rsid w:val="001A38D3"/>
    <w:rsid w:val="001A3D9E"/>
    <w:rsid w:val="001A70D9"/>
    <w:rsid w:val="001A71BF"/>
    <w:rsid w:val="001A7DC1"/>
    <w:rsid w:val="001B2EFA"/>
    <w:rsid w:val="001B3385"/>
    <w:rsid w:val="001B4969"/>
    <w:rsid w:val="001B4CA1"/>
    <w:rsid w:val="001B5E69"/>
    <w:rsid w:val="001B6648"/>
    <w:rsid w:val="001C0046"/>
    <w:rsid w:val="001C168D"/>
    <w:rsid w:val="001C193E"/>
    <w:rsid w:val="001C1B9C"/>
    <w:rsid w:val="001C2027"/>
    <w:rsid w:val="001C2DF0"/>
    <w:rsid w:val="001C2F40"/>
    <w:rsid w:val="001C47CC"/>
    <w:rsid w:val="001C48A2"/>
    <w:rsid w:val="001C6D8E"/>
    <w:rsid w:val="001C7334"/>
    <w:rsid w:val="001C76A1"/>
    <w:rsid w:val="001D1927"/>
    <w:rsid w:val="001D1A07"/>
    <w:rsid w:val="001D1AB1"/>
    <w:rsid w:val="001D3789"/>
    <w:rsid w:val="001D43AF"/>
    <w:rsid w:val="001D5B16"/>
    <w:rsid w:val="001D5BF3"/>
    <w:rsid w:val="001D6BB2"/>
    <w:rsid w:val="001D783B"/>
    <w:rsid w:val="001E02EE"/>
    <w:rsid w:val="001E09E1"/>
    <w:rsid w:val="001E0D7F"/>
    <w:rsid w:val="001E0DD6"/>
    <w:rsid w:val="001E2DBF"/>
    <w:rsid w:val="001E2E0C"/>
    <w:rsid w:val="001E78DD"/>
    <w:rsid w:val="001F2326"/>
    <w:rsid w:val="001F30E2"/>
    <w:rsid w:val="001F354D"/>
    <w:rsid w:val="001F3DF2"/>
    <w:rsid w:val="001F60BA"/>
    <w:rsid w:val="001F7EAC"/>
    <w:rsid w:val="00200DF3"/>
    <w:rsid w:val="0020155E"/>
    <w:rsid w:val="0020330E"/>
    <w:rsid w:val="002069CB"/>
    <w:rsid w:val="00207139"/>
    <w:rsid w:val="002079E6"/>
    <w:rsid w:val="00210AF2"/>
    <w:rsid w:val="002126B2"/>
    <w:rsid w:val="00212795"/>
    <w:rsid w:val="00212EDC"/>
    <w:rsid w:val="00215284"/>
    <w:rsid w:val="00216073"/>
    <w:rsid w:val="00216190"/>
    <w:rsid w:val="002162E3"/>
    <w:rsid w:val="002169CB"/>
    <w:rsid w:val="002215C7"/>
    <w:rsid w:val="00223DC2"/>
    <w:rsid w:val="00225D2F"/>
    <w:rsid w:val="0022654D"/>
    <w:rsid w:val="00226E4A"/>
    <w:rsid w:val="002270BE"/>
    <w:rsid w:val="00227EDE"/>
    <w:rsid w:val="00230743"/>
    <w:rsid w:val="00231871"/>
    <w:rsid w:val="00232372"/>
    <w:rsid w:val="002324F2"/>
    <w:rsid w:val="002333D1"/>
    <w:rsid w:val="00233B7A"/>
    <w:rsid w:val="00233F81"/>
    <w:rsid w:val="00234B93"/>
    <w:rsid w:val="00236173"/>
    <w:rsid w:val="00236306"/>
    <w:rsid w:val="002370B5"/>
    <w:rsid w:val="00241445"/>
    <w:rsid w:val="002443A9"/>
    <w:rsid w:val="00244BE8"/>
    <w:rsid w:val="00245339"/>
    <w:rsid w:val="00246D5C"/>
    <w:rsid w:val="00246EB8"/>
    <w:rsid w:val="002470C2"/>
    <w:rsid w:val="00252514"/>
    <w:rsid w:val="00253BD3"/>
    <w:rsid w:val="0026195A"/>
    <w:rsid w:val="00262002"/>
    <w:rsid w:val="00262123"/>
    <w:rsid w:val="002629EE"/>
    <w:rsid w:val="00264A30"/>
    <w:rsid w:val="0026588F"/>
    <w:rsid w:val="002712A1"/>
    <w:rsid w:val="00272208"/>
    <w:rsid w:val="00272F8B"/>
    <w:rsid w:val="002733A9"/>
    <w:rsid w:val="002763C2"/>
    <w:rsid w:val="00277858"/>
    <w:rsid w:val="0028016E"/>
    <w:rsid w:val="00281A24"/>
    <w:rsid w:val="002824CB"/>
    <w:rsid w:val="00283806"/>
    <w:rsid w:val="0028544B"/>
    <w:rsid w:val="00285736"/>
    <w:rsid w:val="002862FD"/>
    <w:rsid w:val="00292F9D"/>
    <w:rsid w:val="00293127"/>
    <w:rsid w:val="0029391B"/>
    <w:rsid w:val="00294D70"/>
    <w:rsid w:val="00295527"/>
    <w:rsid w:val="0029737B"/>
    <w:rsid w:val="0029747E"/>
    <w:rsid w:val="002A0072"/>
    <w:rsid w:val="002A1966"/>
    <w:rsid w:val="002A3924"/>
    <w:rsid w:val="002A443E"/>
    <w:rsid w:val="002A6846"/>
    <w:rsid w:val="002A7F40"/>
    <w:rsid w:val="002B1504"/>
    <w:rsid w:val="002B1E9E"/>
    <w:rsid w:val="002B265C"/>
    <w:rsid w:val="002B471F"/>
    <w:rsid w:val="002B4C15"/>
    <w:rsid w:val="002B5C4F"/>
    <w:rsid w:val="002B6931"/>
    <w:rsid w:val="002B6E1D"/>
    <w:rsid w:val="002B792B"/>
    <w:rsid w:val="002C03AA"/>
    <w:rsid w:val="002C0410"/>
    <w:rsid w:val="002C0BEF"/>
    <w:rsid w:val="002C12D4"/>
    <w:rsid w:val="002C206A"/>
    <w:rsid w:val="002C3F6F"/>
    <w:rsid w:val="002C419E"/>
    <w:rsid w:val="002C48E7"/>
    <w:rsid w:val="002C6BE6"/>
    <w:rsid w:val="002C6D5D"/>
    <w:rsid w:val="002D0660"/>
    <w:rsid w:val="002D1662"/>
    <w:rsid w:val="002D1CD5"/>
    <w:rsid w:val="002D3307"/>
    <w:rsid w:val="002D3C9F"/>
    <w:rsid w:val="002D5392"/>
    <w:rsid w:val="002D579A"/>
    <w:rsid w:val="002D5953"/>
    <w:rsid w:val="002D68E7"/>
    <w:rsid w:val="002D7CC3"/>
    <w:rsid w:val="002E0D93"/>
    <w:rsid w:val="002E1CFF"/>
    <w:rsid w:val="002E2917"/>
    <w:rsid w:val="002E2BE5"/>
    <w:rsid w:val="002E3A68"/>
    <w:rsid w:val="002E3A8C"/>
    <w:rsid w:val="002E4068"/>
    <w:rsid w:val="002E533A"/>
    <w:rsid w:val="002E60D3"/>
    <w:rsid w:val="002E6B21"/>
    <w:rsid w:val="002F0B75"/>
    <w:rsid w:val="002F120F"/>
    <w:rsid w:val="002F1D1C"/>
    <w:rsid w:val="002F2E81"/>
    <w:rsid w:val="002F4531"/>
    <w:rsid w:val="002F5120"/>
    <w:rsid w:val="002F6A27"/>
    <w:rsid w:val="002F7056"/>
    <w:rsid w:val="002F7648"/>
    <w:rsid w:val="002F7BF6"/>
    <w:rsid w:val="00300181"/>
    <w:rsid w:val="003004B3"/>
    <w:rsid w:val="0030256E"/>
    <w:rsid w:val="00302FCF"/>
    <w:rsid w:val="0030396A"/>
    <w:rsid w:val="00303A9A"/>
    <w:rsid w:val="003068EA"/>
    <w:rsid w:val="00307A63"/>
    <w:rsid w:val="00311074"/>
    <w:rsid w:val="00311919"/>
    <w:rsid w:val="00312A12"/>
    <w:rsid w:val="00314879"/>
    <w:rsid w:val="00314E00"/>
    <w:rsid w:val="00315A8A"/>
    <w:rsid w:val="003173C4"/>
    <w:rsid w:val="003206E2"/>
    <w:rsid w:val="00321127"/>
    <w:rsid w:val="00321A8A"/>
    <w:rsid w:val="00322FF8"/>
    <w:rsid w:val="0032685F"/>
    <w:rsid w:val="00330D51"/>
    <w:rsid w:val="00331710"/>
    <w:rsid w:val="00331C93"/>
    <w:rsid w:val="00335CE0"/>
    <w:rsid w:val="00336082"/>
    <w:rsid w:val="003368E5"/>
    <w:rsid w:val="00337E4B"/>
    <w:rsid w:val="003402E6"/>
    <w:rsid w:val="0034035D"/>
    <w:rsid w:val="00340796"/>
    <w:rsid w:val="0034092B"/>
    <w:rsid w:val="00340C5F"/>
    <w:rsid w:val="003415FF"/>
    <w:rsid w:val="00342244"/>
    <w:rsid w:val="003428BE"/>
    <w:rsid w:val="00344689"/>
    <w:rsid w:val="00345290"/>
    <w:rsid w:val="00345D48"/>
    <w:rsid w:val="00346A70"/>
    <w:rsid w:val="00350C76"/>
    <w:rsid w:val="003514CE"/>
    <w:rsid w:val="00353E32"/>
    <w:rsid w:val="00356868"/>
    <w:rsid w:val="0036034F"/>
    <w:rsid w:val="0036204F"/>
    <w:rsid w:val="0036213F"/>
    <w:rsid w:val="00363470"/>
    <w:rsid w:val="003636C9"/>
    <w:rsid w:val="00363C01"/>
    <w:rsid w:val="003646DA"/>
    <w:rsid w:val="0036686C"/>
    <w:rsid w:val="00367BCC"/>
    <w:rsid w:val="00367EB6"/>
    <w:rsid w:val="003741F4"/>
    <w:rsid w:val="00374B29"/>
    <w:rsid w:val="003767FD"/>
    <w:rsid w:val="003769E1"/>
    <w:rsid w:val="00377156"/>
    <w:rsid w:val="0038013D"/>
    <w:rsid w:val="00380A09"/>
    <w:rsid w:val="00381A7A"/>
    <w:rsid w:val="00385090"/>
    <w:rsid w:val="0038645C"/>
    <w:rsid w:val="003867DB"/>
    <w:rsid w:val="00386B77"/>
    <w:rsid w:val="00386C13"/>
    <w:rsid w:val="00387AE9"/>
    <w:rsid w:val="00387C82"/>
    <w:rsid w:val="00390BD2"/>
    <w:rsid w:val="003941DA"/>
    <w:rsid w:val="00397C2F"/>
    <w:rsid w:val="00397DE9"/>
    <w:rsid w:val="003A0743"/>
    <w:rsid w:val="003A0DA2"/>
    <w:rsid w:val="003A10C6"/>
    <w:rsid w:val="003A1CE0"/>
    <w:rsid w:val="003A35EB"/>
    <w:rsid w:val="003A5361"/>
    <w:rsid w:val="003A5449"/>
    <w:rsid w:val="003A56D3"/>
    <w:rsid w:val="003A6538"/>
    <w:rsid w:val="003A7C9B"/>
    <w:rsid w:val="003A7F29"/>
    <w:rsid w:val="003B0BF4"/>
    <w:rsid w:val="003B445F"/>
    <w:rsid w:val="003B51D3"/>
    <w:rsid w:val="003B6EA3"/>
    <w:rsid w:val="003B7351"/>
    <w:rsid w:val="003B7C04"/>
    <w:rsid w:val="003C036A"/>
    <w:rsid w:val="003C1050"/>
    <w:rsid w:val="003C12AB"/>
    <w:rsid w:val="003C180F"/>
    <w:rsid w:val="003C2AF6"/>
    <w:rsid w:val="003C3F1B"/>
    <w:rsid w:val="003D0578"/>
    <w:rsid w:val="003D1E7B"/>
    <w:rsid w:val="003D1F54"/>
    <w:rsid w:val="003D302E"/>
    <w:rsid w:val="003D5614"/>
    <w:rsid w:val="003D6519"/>
    <w:rsid w:val="003D7765"/>
    <w:rsid w:val="003D78B3"/>
    <w:rsid w:val="003D7EA2"/>
    <w:rsid w:val="003E0A7E"/>
    <w:rsid w:val="003E1298"/>
    <w:rsid w:val="003E2E33"/>
    <w:rsid w:val="003E73B4"/>
    <w:rsid w:val="003E7A9A"/>
    <w:rsid w:val="003E7CE1"/>
    <w:rsid w:val="003F16DB"/>
    <w:rsid w:val="003F183E"/>
    <w:rsid w:val="003F2B07"/>
    <w:rsid w:val="003F3366"/>
    <w:rsid w:val="003F387B"/>
    <w:rsid w:val="003F3D31"/>
    <w:rsid w:val="003F4121"/>
    <w:rsid w:val="003F41D3"/>
    <w:rsid w:val="003F45D7"/>
    <w:rsid w:val="003F486A"/>
    <w:rsid w:val="003F4E50"/>
    <w:rsid w:val="003F502B"/>
    <w:rsid w:val="004004EC"/>
    <w:rsid w:val="00400C43"/>
    <w:rsid w:val="00401F18"/>
    <w:rsid w:val="0040217D"/>
    <w:rsid w:val="004028C7"/>
    <w:rsid w:val="00402E23"/>
    <w:rsid w:val="0040312C"/>
    <w:rsid w:val="00404546"/>
    <w:rsid w:val="00405B00"/>
    <w:rsid w:val="0040752A"/>
    <w:rsid w:val="00407FF8"/>
    <w:rsid w:val="00411FF9"/>
    <w:rsid w:val="00412247"/>
    <w:rsid w:val="0041249C"/>
    <w:rsid w:val="00412E63"/>
    <w:rsid w:val="00412EB8"/>
    <w:rsid w:val="00413322"/>
    <w:rsid w:val="004136AD"/>
    <w:rsid w:val="00413BC2"/>
    <w:rsid w:val="00413F9A"/>
    <w:rsid w:val="00414F0C"/>
    <w:rsid w:val="00416ECE"/>
    <w:rsid w:val="0042023B"/>
    <w:rsid w:val="00420418"/>
    <w:rsid w:val="0042058B"/>
    <w:rsid w:val="00421DF1"/>
    <w:rsid w:val="004238A0"/>
    <w:rsid w:val="0042426B"/>
    <w:rsid w:val="00425431"/>
    <w:rsid w:val="00425D6A"/>
    <w:rsid w:val="00427F76"/>
    <w:rsid w:val="00431075"/>
    <w:rsid w:val="00431608"/>
    <w:rsid w:val="00433C1F"/>
    <w:rsid w:val="00435587"/>
    <w:rsid w:val="004355FE"/>
    <w:rsid w:val="00435A23"/>
    <w:rsid w:val="00436416"/>
    <w:rsid w:val="00441377"/>
    <w:rsid w:val="0044230B"/>
    <w:rsid w:val="00443C0D"/>
    <w:rsid w:val="004449E4"/>
    <w:rsid w:val="0044575D"/>
    <w:rsid w:val="00445BEC"/>
    <w:rsid w:val="00445D8C"/>
    <w:rsid w:val="004476C3"/>
    <w:rsid w:val="004505BC"/>
    <w:rsid w:val="00451B0C"/>
    <w:rsid w:val="00455A28"/>
    <w:rsid w:val="004561CE"/>
    <w:rsid w:val="004569AD"/>
    <w:rsid w:val="00462282"/>
    <w:rsid w:val="00462DC7"/>
    <w:rsid w:val="0046314D"/>
    <w:rsid w:val="004632BC"/>
    <w:rsid w:val="00463958"/>
    <w:rsid w:val="004646CA"/>
    <w:rsid w:val="00464CC0"/>
    <w:rsid w:val="00464F7B"/>
    <w:rsid w:val="004653F0"/>
    <w:rsid w:val="00465A84"/>
    <w:rsid w:val="00470C74"/>
    <w:rsid w:val="00472BB6"/>
    <w:rsid w:val="00472C84"/>
    <w:rsid w:val="00473990"/>
    <w:rsid w:val="00473F9E"/>
    <w:rsid w:val="00474B9B"/>
    <w:rsid w:val="00476A8A"/>
    <w:rsid w:val="00476C70"/>
    <w:rsid w:val="00480D8A"/>
    <w:rsid w:val="00482194"/>
    <w:rsid w:val="00482C8A"/>
    <w:rsid w:val="00483DFC"/>
    <w:rsid w:val="00484850"/>
    <w:rsid w:val="00484BB7"/>
    <w:rsid w:val="00484D2C"/>
    <w:rsid w:val="00484E12"/>
    <w:rsid w:val="00485051"/>
    <w:rsid w:val="00485365"/>
    <w:rsid w:val="00485B44"/>
    <w:rsid w:val="004876F1"/>
    <w:rsid w:val="00491327"/>
    <w:rsid w:val="0049208F"/>
    <w:rsid w:val="00493B4D"/>
    <w:rsid w:val="004941B7"/>
    <w:rsid w:val="0049596F"/>
    <w:rsid w:val="004959D1"/>
    <w:rsid w:val="004964E1"/>
    <w:rsid w:val="00496584"/>
    <w:rsid w:val="004978ED"/>
    <w:rsid w:val="004A070B"/>
    <w:rsid w:val="004A105A"/>
    <w:rsid w:val="004A15A2"/>
    <w:rsid w:val="004A1E16"/>
    <w:rsid w:val="004A2341"/>
    <w:rsid w:val="004A29A1"/>
    <w:rsid w:val="004A2A35"/>
    <w:rsid w:val="004A301F"/>
    <w:rsid w:val="004A49C1"/>
    <w:rsid w:val="004A7F4C"/>
    <w:rsid w:val="004B08E1"/>
    <w:rsid w:val="004B09FF"/>
    <w:rsid w:val="004B0F0B"/>
    <w:rsid w:val="004B131C"/>
    <w:rsid w:val="004B1824"/>
    <w:rsid w:val="004B230E"/>
    <w:rsid w:val="004B24C2"/>
    <w:rsid w:val="004B27F5"/>
    <w:rsid w:val="004B3181"/>
    <w:rsid w:val="004B3EAD"/>
    <w:rsid w:val="004B3EEB"/>
    <w:rsid w:val="004B4012"/>
    <w:rsid w:val="004B4679"/>
    <w:rsid w:val="004B5F9C"/>
    <w:rsid w:val="004C08AD"/>
    <w:rsid w:val="004C1E59"/>
    <w:rsid w:val="004C2B17"/>
    <w:rsid w:val="004C4DFD"/>
    <w:rsid w:val="004C5CDB"/>
    <w:rsid w:val="004C67ED"/>
    <w:rsid w:val="004C6B87"/>
    <w:rsid w:val="004C711B"/>
    <w:rsid w:val="004C71C0"/>
    <w:rsid w:val="004C7849"/>
    <w:rsid w:val="004C7F70"/>
    <w:rsid w:val="004D0DC7"/>
    <w:rsid w:val="004D0FDE"/>
    <w:rsid w:val="004D1242"/>
    <w:rsid w:val="004D2088"/>
    <w:rsid w:val="004D239A"/>
    <w:rsid w:val="004D4908"/>
    <w:rsid w:val="004D4D9B"/>
    <w:rsid w:val="004D66DB"/>
    <w:rsid w:val="004E0318"/>
    <w:rsid w:val="004E0A23"/>
    <w:rsid w:val="004E40D6"/>
    <w:rsid w:val="004E47B7"/>
    <w:rsid w:val="004E4E3C"/>
    <w:rsid w:val="004E511D"/>
    <w:rsid w:val="004E5528"/>
    <w:rsid w:val="004E63F7"/>
    <w:rsid w:val="004F03BC"/>
    <w:rsid w:val="004F168B"/>
    <w:rsid w:val="004F26DB"/>
    <w:rsid w:val="004F3DC3"/>
    <w:rsid w:val="004F3E4E"/>
    <w:rsid w:val="004F5600"/>
    <w:rsid w:val="004F56AC"/>
    <w:rsid w:val="004F7147"/>
    <w:rsid w:val="004F73F2"/>
    <w:rsid w:val="00500B71"/>
    <w:rsid w:val="0050138F"/>
    <w:rsid w:val="00501A86"/>
    <w:rsid w:val="00502CD5"/>
    <w:rsid w:val="00503D01"/>
    <w:rsid w:val="0050425E"/>
    <w:rsid w:val="00504A9E"/>
    <w:rsid w:val="00504BB1"/>
    <w:rsid w:val="0050534C"/>
    <w:rsid w:val="00506E96"/>
    <w:rsid w:val="005115DD"/>
    <w:rsid w:val="0051216D"/>
    <w:rsid w:val="00512448"/>
    <w:rsid w:val="0051477C"/>
    <w:rsid w:val="00515110"/>
    <w:rsid w:val="005169DB"/>
    <w:rsid w:val="0052014E"/>
    <w:rsid w:val="005203EB"/>
    <w:rsid w:val="0052153E"/>
    <w:rsid w:val="00521FB8"/>
    <w:rsid w:val="005222C7"/>
    <w:rsid w:val="005228D7"/>
    <w:rsid w:val="005237FE"/>
    <w:rsid w:val="00523B1F"/>
    <w:rsid w:val="00524D34"/>
    <w:rsid w:val="00527B9B"/>
    <w:rsid w:val="00527BB6"/>
    <w:rsid w:val="00530D3A"/>
    <w:rsid w:val="00530D4E"/>
    <w:rsid w:val="005313DE"/>
    <w:rsid w:val="0053173B"/>
    <w:rsid w:val="005323BF"/>
    <w:rsid w:val="00534872"/>
    <w:rsid w:val="005348DE"/>
    <w:rsid w:val="00534970"/>
    <w:rsid w:val="0053657A"/>
    <w:rsid w:val="00537217"/>
    <w:rsid w:val="00540FBC"/>
    <w:rsid w:val="00543C3E"/>
    <w:rsid w:val="005448C0"/>
    <w:rsid w:val="00545FF0"/>
    <w:rsid w:val="00550AE8"/>
    <w:rsid w:val="00553274"/>
    <w:rsid w:val="00554DF1"/>
    <w:rsid w:val="0055553E"/>
    <w:rsid w:val="005559A2"/>
    <w:rsid w:val="00557B9E"/>
    <w:rsid w:val="00560FAC"/>
    <w:rsid w:val="00562D14"/>
    <w:rsid w:val="00562D30"/>
    <w:rsid w:val="00570DF6"/>
    <w:rsid w:val="00571F96"/>
    <w:rsid w:val="005724BE"/>
    <w:rsid w:val="005740B8"/>
    <w:rsid w:val="00575198"/>
    <w:rsid w:val="0057566E"/>
    <w:rsid w:val="005766B1"/>
    <w:rsid w:val="00577911"/>
    <w:rsid w:val="00580B08"/>
    <w:rsid w:val="005814F6"/>
    <w:rsid w:val="00582275"/>
    <w:rsid w:val="0058354C"/>
    <w:rsid w:val="005845F8"/>
    <w:rsid w:val="00585AC2"/>
    <w:rsid w:val="00586C2A"/>
    <w:rsid w:val="005874C5"/>
    <w:rsid w:val="005904BF"/>
    <w:rsid w:val="005912A8"/>
    <w:rsid w:val="00593036"/>
    <w:rsid w:val="00594BB2"/>
    <w:rsid w:val="00594E9C"/>
    <w:rsid w:val="00596D48"/>
    <w:rsid w:val="00597801"/>
    <w:rsid w:val="005A0DB2"/>
    <w:rsid w:val="005A139F"/>
    <w:rsid w:val="005A1BE8"/>
    <w:rsid w:val="005A1C97"/>
    <w:rsid w:val="005A3667"/>
    <w:rsid w:val="005A3960"/>
    <w:rsid w:val="005A3D60"/>
    <w:rsid w:val="005A4617"/>
    <w:rsid w:val="005A4832"/>
    <w:rsid w:val="005A53BD"/>
    <w:rsid w:val="005A7957"/>
    <w:rsid w:val="005A7DE8"/>
    <w:rsid w:val="005B046E"/>
    <w:rsid w:val="005B1DB4"/>
    <w:rsid w:val="005B4C28"/>
    <w:rsid w:val="005B6256"/>
    <w:rsid w:val="005B7145"/>
    <w:rsid w:val="005B7E7C"/>
    <w:rsid w:val="005C057B"/>
    <w:rsid w:val="005C1744"/>
    <w:rsid w:val="005C1C55"/>
    <w:rsid w:val="005C1CFB"/>
    <w:rsid w:val="005C26B3"/>
    <w:rsid w:val="005C35D3"/>
    <w:rsid w:val="005C3632"/>
    <w:rsid w:val="005C657A"/>
    <w:rsid w:val="005C6E39"/>
    <w:rsid w:val="005C743E"/>
    <w:rsid w:val="005C775A"/>
    <w:rsid w:val="005D2F11"/>
    <w:rsid w:val="005D3524"/>
    <w:rsid w:val="005D3F0C"/>
    <w:rsid w:val="005D4A60"/>
    <w:rsid w:val="005D5FA5"/>
    <w:rsid w:val="005D7B61"/>
    <w:rsid w:val="005D7D88"/>
    <w:rsid w:val="005E0170"/>
    <w:rsid w:val="005E2098"/>
    <w:rsid w:val="005E2C6F"/>
    <w:rsid w:val="005E7195"/>
    <w:rsid w:val="005E7996"/>
    <w:rsid w:val="005E7E08"/>
    <w:rsid w:val="005F0BC0"/>
    <w:rsid w:val="005F3A6F"/>
    <w:rsid w:val="005F3C27"/>
    <w:rsid w:val="005F51F1"/>
    <w:rsid w:val="005F5CEB"/>
    <w:rsid w:val="005F690E"/>
    <w:rsid w:val="00600715"/>
    <w:rsid w:val="00600A66"/>
    <w:rsid w:val="00600E77"/>
    <w:rsid w:val="00601435"/>
    <w:rsid w:val="006017A8"/>
    <w:rsid w:val="00601A84"/>
    <w:rsid w:val="0060214E"/>
    <w:rsid w:val="0060236D"/>
    <w:rsid w:val="00602BEA"/>
    <w:rsid w:val="00604B66"/>
    <w:rsid w:val="00607141"/>
    <w:rsid w:val="00610BB6"/>
    <w:rsid w:val="00610E5C"/>
    <w:rsid w:val="00611095"/>
    <w:rsid w:val="00613C98"/>
    <w:rsid w:val="00614DA1"/>
    <w:rsid w:val="00615590"/>
    <w:rsid w:val="006164B1"/>
    <w:rsid w:val="00616AA0"/>
    <w:rsid w:val="00617A39"/>
    <w:rsid w:val="0062125C"/>
    <w:rsid w:val="00621415"/>
    <w:rsid w:val="00621CBC"/>
    <w:rsid w:val="00622675"/>
    <w:rsid w:val="00623C08"/>
    <w:rsid w:val="0062422F"/>
    <w:rsid w:val="006248CA"/>
    <w:rsid w:val="006274C5"/>
    <w:rsid w:val="00630439"/>
    <w:rsid w:val="00631634"/>
    <w:rsid w:val="00631BF4"/>
    <w:rsid w:val="00631D73"/>
    <w:rsid w:val="006342EA"/>
    <w:rsid w:val="006349A7"/>
    <w:rsid w:val="0063529C"/>
    <w:rsid w:val="00635E0E"/>
    <w:rsid w:val="0063665A"/>
    <w:rsid w:val="00636828"/>
    <w:rsid w:val="00636B8E"/>
    <w:rsid w:val="00637225"/>
    <w:rsid w:val="00641092"/>
    <w:rsid w:val="00644FC1"/>
    <w:rsid w:val="00645240"/>
    <w:rsid w:val="006464C2"/>
    <w:rsid w:val="00646919"/>
    <w:rsid w:val="00647F91"/>
    <w:rsid w:val="00650302"/>
    <w:rsid w:val="00650A6A"/>
    <w:rsid w:val="00650AA5"/>
    <w:rsid w:val="00653416"/>
    <w:rsid w:val="00653E0A"/>
    <w:rsid w:val="00653F21"/>
    <w:rsid w:val="006600FB"/>
    <w:rsid w:val="0066105F"/>
    <w:rsid w:val="0066162F"/>
    <w:rsid w:val="006626A1"/>
    <w:rsid w:val="00662883"/>
    <w:rsid w:val="0066452C"/>
    <w:rsid w:val="0066606F"/>
    <w:rsid w:val="00670AD9"/>
    <w:rsid w:val="00670D6A"/>
    <w:rsid w:val="00671934"/>
    <w:rsid w:val="00674531"/>
    <w:rsid w:val="0067796F"/>
    <w:rsid w:val="0068045B"/>
    <w:rsid w:val="0068118F"/>
    <w:rsid w:val="006811FD"/>
    <w:rsid w:val="0068198D"/>
    <w:rsid w:val="006834B1"/>
    <w:rsid w:val="006844CA"/>
    <w:rsid w:val="00685120"/>
    <w:rsid w:val="00685174"/>
    <w:rsid w:val="00685E13"/>
    <w:rsid w:val="006875A5"/>
    <w:rsid w:val="00687A08"/>
    <w:rsid w:val="00690775"/>
    <w:rsid w:val="006911D7"/>
    <w:rsid w:val="00691453"/>
    <w:rsid w:val="00691905"/>
    <w:rsid w:val="00691BEE"/>
    <w:rsid w:val="0069229A"/>
    <w:rsid w:val="00692937"/>
    <w:rsid w:val="0069638F"/>
    <w:rsid w:val="006973CC"/>
    <w:rsid w:val="00697DD7"/>
    <w:rsid w:val="006A0CA0"/>
    <w:rsid w:val="006A1681"/>
    <w:rsid w:val="006A2BB3"/>
    <w:rsid w:val="006A2C44"/>
    <w:rsid w:val="006A4E85"/>
    <w:rsid w:val="006A55AF"/>
    <w:rsid w:val="006B188D"/>
    <w:rsid w:val="006B2B19"/>
    <w:rsid w:val="006B2E18"/>
    <w:rsid w:val="006B2F98"/>
    <w:rsid w:val="006B34D1"/>
    <w:rsid w:val="006B41D8"/>
    <w:rsid w:val="006B51AA"/>
    <w:rsid w:val="006B5BF3"/>
    <w:rsid w:val="006B64DA"/>
    <w:rsid w:val="006C0F80"/>
    <w:rsid w:val="006C4312"/>
    <w:rsid w:val="006C4B9B"/>
    <w:rsid w:val="006C5205"/>
    <w:rsid w:val="006C72BD"/>
    <w:rsid w:val="006D0554"/>
    <w:rsid w:val="006D1B65"/>
    <w:rsid w:val="006D1DDC"/>
    <w:rsid w:val="006D2455"/>
    <w:rsid w:val="006D2FD3"/>
    <w:rsid w:val="006D3B4D"/>
    <w:rsid w:val="006D3E95"/>
    <w:rsid w:val="006D4903"/>
    <w:rsid w:val="006D4F4E"/>
    <w:rsid w:val="006D5216"/>
    <w:rsid w:val="006D57C8"/>
    <w:rsid w:val="006D5B62"/>
    <w:rsid w:val="006D5BE7"/>
    <w:rsid w:val="006D5C44"/>
    <w:rsid w:val="006D6977"/>
    <w:rsid w:val="006D6985"/>
    <w:rsid w:val="006D7DB0"/>
    <w:rsid w:val="006E0418"/>
    <w:rsid w:val="006E054A"/>
    <w:rsid w:val="006E0C8B"/>
    <w:rsid w:val="006E114B"/>
    <w:rsid w:val="006E198B"/>
    <w:rsid w:val="006E25C0"/>
    <w:rsid w:val="006E2B92"/>
    <w:rsid w:val="006E2BCC"/>
    <w:rsid w:val="006E3064"/>
    <w:rsid w:val="006E3EE4"/>
    <w:rsid w:val="006E429F"/>
    <w:rsid w:val="006E72AB"/>
    <w:rsid w:val="006F2BD1"/>
    <w:rsid w:val="006F445E"/>
    <w:rsid w:val="006F4BD8"/>
    <w:rsid w:val="006F571C"/>
    <w:rsid w:val="006F57C2"/>
    <w:rsid w:val="006F5CF3"/>
    <w:rsid w:val="006F5D62"/>
    <w:rsid w:val="006F5DAE"/>
    <w:rsid w:val="006F62E0"/>
    <w:rsid w:val="006F6586"/>
    <w:rsid w:val="00701DFF"/>
    <w:rsid w:val="007033BA"/>
    <w:rsid w:val="007039EA"/>
    <w:rsid w:val="00704A87"/>
    <w:rsid w:val="00705DF1"/>
    <w:rsid w:val="0070747E"/>
    <w:rsid w:val="00707F89"/>
    <w:rsid w:val="00710246"/>
    <w:rsid w:val="00712286"/>
    <w:rsid w:val="007137A6"/>
    <w:rsid w:val="00716748"/>
    <w:rsid w:val="00717A75"/>
    <w:rsid w:val="0072001C"/>
    <w:rsid w:val="00720C7F"/>
    <w:rsid w:val="00721004"/>
    <w:rsid w:val="00721076"/>
    <w:rsid w:val="00722CF2"/>
    <w:rsid w:val="00725350"/>
    <w:rsid w:val="00726B10"/>
    <w:rsid w:val="00726D8B"/>
    <w:rsid w:val="007300A2"/>
    <w:rsid w:val="00730FDD"/>
    <w:rsid w:val="00731A32"/>
    <w:rsid w:val="007328AF"/>
    <w:rsid w:val="00732E9E"/>
    <w:rsid w:val="007331AD"/>
    <w:rsid w:val="007360D5"/>
    <w:rsid w:val="00736996"/>
    <w:rsid w:val="00736D24"/>
    <w:rsid w:val="00737410"/>
    <w:rsid w:val="00737867"/>
    <w:rsid w:val="00737AB5"/>
    <w:rsid w:val="0074090C"/>
    <w:rsid w:val="00740A99"/>
    <w:rsid w:val="00742450"/>
    <w:rsid w:val="00742B6C"/>
    <w:rsid w:val="007456B1"/>
    <w:rsid w:val="00746008"/>
    <w:rsid w:val="007477F6"/>
    <w:rsid w:val="00747DB8"/>
    <w:rsid w:val="00751670"/>
    <w:rsid w:val="00751712"/>
    <w:rsid w:val="00751875"/>
    <w:rsid w:val="00754273"/>
    <w:rsid w:val="00754E1E"/>
    <w:rsid w:val="0075509A"/>
    <w:rsid w:val="007568E5"/>
    <w:rsid w:val="007607FC"/>
    <w:rsid w:val="00764F28"/>
    <w:rsid w:val="00765398"/>
    <w:rsid w:val="007654C3"/>
    <w:rsid w:val="0076558C"/>
    <w:rsid w:val="007663C0"/>
    <w:rsid w:val="00766672"/>
    <w:rsid w:val="00770190"/>
    <w:rsid w:val="007707C1"/>
    <w:rsid w:val="00771DD2"/>
    <w:rsid w:val="0077242B"/>
    <w:rsid w:val="00774107"/>
    <w:rsid w:val="007776F7"/>
    <w:rsid w:val="00777DB2"/>
    <w:rsid w:val="007801E4"/>
    <w:rsid w:val="00780240"/>
    <w:rsid w:val="00781302"/>
    <w:rsid w:val="007817A6"/>
    <w:rsid w:val="00781AA3"/>
    <w:rsid w:val="00781E9E"/>
    <w:rsid w:val="00782C13"/>
    <w:rsid w:val="007834A5"/>
    <w:rsid w:val="007848D6"/>
    <w:rsid w:val="00785B20"/>
    <w:rsid w:val="00785B22"/>
    <w:rsid w:val="00786077"/>
    <w:rsid w:val="00786DF6"/>
    <w:rsid w:val="00790D98"/>
    <w:rsid w:val="00791366"/>
    <w:rsid w:val="007932E0"/>
    <w:rsid w:val="00793C60"/>
    <w:rsid w:val="00794BDA"/>
    <w:rsid w:val="00795C61"/>
    <w:rsid w:val="00795D9A"/>
    <w:rsid w:val="007969BB"/>
    <w:rsid w:val="00796D8D"/>
    <w:rsid w:val="00797CE5"/>
    <w:rsid w:val="007A15EF"/>
    <w:rsid w:val="007A17B8"/>
    <w:rsid w:val="007A2797"/>
    <w:rsid w:val="007A34FC"/>
    <w:rsid w:val="007A509F"/>
    <w:rsid w:val="007A57C0"/>
    <w:rsid w:val="007A6765"/>
    <w:rsid w:val="007A6AA3"/>
    <w:rsid w:val="007A7ECC"/>
    <w:rsid w:val="007B06D8"/>
    <w:rsid w:val="007B1910"/>
    <w:rsid w:val="007B1A8B"/>
    <w:rsid w:val="007B3E51"/>
    <w:rsid w:val="007B4594"/>
    <w:rsid w:val="007B46E4"/>
    <w:rsid w:val="007B59EC"/>
    <w:rsid w:val="007B69E4"/>
    <w:rsid w:val="007C295E"/>
    <w:rsid w:val="007C3ACC"/>
    <w:rsid w:val="007C3DAD"/>
    <w:rsid w:val="007C421F"/>
    <w:rsid w:val="007C4AE3"/>
    <w:rsid w:val="007C580E"/>
    <w:rsid w:val="007C5E26"/>
    <w:rsid w:val="007D06EF"/>
    <w:rsid w:val="007D373F"/>
    <w:rsid w:val="007D5D3A"/>
    <w:rsid w:val="007D614E"/>
    <w:rsid w:val="007D70E2"/>
    <w:rsid w:val="007D76B6"/>
    <w:rsid w:val="007D799E"/>
    <w:rsid w:val="007E0FE0"/>
    <w:rsid w:val="007E23FB"/>
    <w:rsid w:val="007E434F"/>
    <w:rsid w:val="007E4D99"/>
    <w:rsid w:val="007E6525"/>
    <w:rsid w:val="007E71EE"/>
    <w:rsid w:val="007F3DF6"/>
    <w:rsid w:val="007F4F98"/>
    <w:rsid w:val="007F51CF"/>
    <w:rsid w:val="007F5485"/>
    <w:rsid w:val="007F6A21"/>
    <w:rsid w:val="007F7FB3"/>
    <w:rsid w:val="00800D73"/>
    <w:rsid w:val="00801164"/>
    <w:rsid w:val="00801BF9"/>
    <w:rsid w:val="00802208"/>
    <w:rsid w:val="00802810"/>
    <w:rsid w:val="0080331B"/>
    <w:rsid w:val="00804821"/>
    <w:rsid w:val="00807568"/>
    <w:rsid w:val="008078D0"/>
    <w:rsid w:val="00807E0B"/>
    <w:rsid w:val="00810160"/>
    <w:rsid w:val="0081038E"/>
    <w:rsid w:val="00810AFB"/>
    <w:rsid w:val="0081173A"/>
    <w:rsid w:val="0081312D"/>
    <w:rsid w:val="008142EE"/>
    <w:rsid w:val="00815D96"/>
    <w:rsid w:val="00816BC3"/>
    <w:rsid w:val="00816C3F"/>
    <w:rsid w:val="00817077"/>
    <w:rsid w:val="00817ACD"/>
    <w:rsid w:val="00821BD6"/>
    <w:rsid w:val="0082248D"/>
    <w:rsid w:val="0082373A"/>
    <w:rsid w:val="00823B36"/>
    <w:rsid w:val="00823C16"/>
    <w:rsid w:val="00823FC4"/>
    <w:rsid w:val="0082417E"/>
    <w:rsid w:val="00824F97"/>
    <w:rsid w:val="008259F0"/>
    <w:rsid w:val="0082629F"/>
    <w:rsid w:val="008300F2"/>
    <w:rsid w:val="0083115B"/>
    <w:rsid w:val="00832C77"/>
    <w:rsid w:val="0083303E"/>
    <w:rsid w:val="00833452"/>
    <w:rsid w:val="00833ECE"/>
    <w:rsid w:val="008346C8"/>
    <w:rsid w:val="00834CA4"/>
    <w:rsid w:val="00835167"/>
    <w:rsid w:val="00835F3C"/>
    <w:rsid w:val="0083669B"/>
    <w:rsid w:val="0083700C"/>
    <w:rsid w:val="00840444"/>
    <w:rsid w:val="00840C23"/>
    <w:rsid w:val="00840E0E"/>
    <w:rsid w:val="0084130C"/>
    <w:rsid w:val="00841470"/>
    <w:rsid w:val="00842442"/>
    <w:rsid w:val="00844B73"/>
    <w:rsid w:val="00846950"/>
    <w:rsid w:val="00846CEB"/>
    <w:rsid w:val="0084799F"/>
    <w:rsid w:val="00847F54"/>
    <w:rsid w:val="00850671"/>
    <w:rsid w:val="008511BE"/>
    <w:rsid w:val="008514E7"/>
    <w:rsid w:val="00851E90"/>
    <w:rsid w:val="0085281A"/>
    <w:rsid w:val="008531D4"/>
    <w:rsid w:val="00854D58"/>
    <w:rsid w:val="00855D58"/>
    <w:rsid w:val="00855FF4"/>
    <w:rsid w:val="0085795F"/>
    <w:rsid w:val="00860C34"/>
    <w:rsid w:val="00862408"/>
    <w:rsid w:val="008624CF"/>
    <w:rsid w:val="008625B0"/>
    <w:rsid w:val="00863BB7"/>
    <w:rsid w:val="00864522"/>
    <w:rsid w:val="008655F3"/>
    <w:rsid w:val="00865707"/>
    <w:rsid w:val="00865909"/>
    <w:rsid w:val="00866993"/>
    <w:rsid w:val="008679E8"/>
    <w:rsid w:val="00867B61"/>
    <w:rsid w:val="00870865"/>
    <w:rsid w:val="00871A83"/>
    <w:rsid w:val="00873663"/>
    <w:rsid w:val="00873798"/>
    <w:rsid w:val="00873E9A"/>
    <w:rsid w:val="0087527F"/>
    <w:rsid w:val="00875BFD"/>
    <w:rsid w:val="00877621"/>
    <w:rsid w:val="008777F4"/>
    <w:rsid w:val="00881011"/>
    <w:rsid w:val="0088210E"/>
    <w:rsid w:val="00883A71"/>
    <w:rsid w:val="00884848"/>
    <w:rsid w:val="00885331"/>
    <w:rsid w:val="00885DED"/>
    <w:rsid w:val="00887710"/>
    <w:rsid w:val="00887DFF"/>
    <w:rsid w:val="00887F75"/>
    <w:rsid w:val="0089023B"/>
    <w:rsid w:val="0089036F"/>
    <w:rsid w:val="00890B32"/>
    <w:rsid w:val="00890B5A"/>
    <w:rsid w:val="00890C36"/>
    <w:rsid w:val="00890D72"/>
    <w:rsid w:val="008915F7"/>
    <w:rsid w:val="00893FEE"/>
    <w:rsid w:val="00896BE7"/>
    <w:rsid w:val="008974A9"/>
    <w:rsid w:val="00897B52"/>
    <w:rsid w:val="00897C69"/>
    <w:rsid w:val="00897E1E"/>
    <w:rsid w:val="008A0341"/>
    <w:rsid w:val="008A2F34"/>
    <w:rsid w:val="008A3166"/>
    <w:rsid w:val="008A676E"/>
    <w:rsid w:val="008A6F41"/>
    <w:rsid w:val="008A7F71"/>
    <w:rsid w:val="008B13BE"/>
    <w:rsid w:val="008B3631"/>
    <w:rsid w:val="008B3BC4"/>
    <w:rsid w:val="008B571C"/>
    <w:rsid w:val="008B6F1B"/>
    <w:rsid w:val="008B77A5"/>
    <w:rsid w:val="008B7E13"/>
    <w:rsid w:val="008B7F5A"/>
    <w:rsid w:val="008C1096"/>
    <w:rsid w:val="008C3430"/>
    <w:rsid w:val="008C35D3"/>
    <w:rsid w:val="008D2926"/>
    <w:rsid w:val="008D3F8A"/>
    <w:rsid w:val="008D6A9F"/>
    <w:rsid w:val="008D771D"/>
    <w:rsid w:val="008E124F"/>
    <w:rsid w:val="008E284B"/>
    <w:rsid w:val="008E4029"/>
    <w:rsid w:val="008E442C"/>
    <w:rsid w:val="008E48DB"/>
    <w:rsid w:val="008E770F"/>
    <w:rsid w:val="008E7A72"/>
    <w:rsid w:val="008F00A8"/>
    <w:rsid w:val="008F1828"/>
    <w:rsid w:val="008F3A61"/>
    <w:rsid w:val="008F43F9"/>
    <w:rsid w:val="0090000C"/>
    <w:rsid w:val="00902C3C"/>
    <w:rsid w:val="00902C52"/>
    <w:rsid w:val="00903791"/>
    <w:rsid w:val="00904754"/>
    <w:rsid w:val="00905B7E"/>
    <w:rsid w:val="00906247"/>
    <w:rsid w:val="00906718"/>
    <w:rsid w:val="00906F67"/>
    <w:rsid w:val="00907D6D"/>
    <w:rsid w:val="00910773"/>
    <w:rsid w:val="0091099A"/>
    <w:rsid w:val="00910E66"/>
    <w:rsid w:val="009127E0"/>
    <w:rsid w:val="00913281"/>
    <w:rsid w:val="00916678"/>
    <w:rsid w:val="00916F05"/>
    <w:rsid w:val="00920158"/>
    <w:rsid w:val="00920AB1"/>
    <w:rsid w:val="00921850"/>
    <w:rsid w:val="00921B83"/>
    <w:rsid w:val="00922A43"/>
    <w:rsid w:val="00923D88"/>
    <w:rsid w:val="00924230"/>
    <w:rsid w:val="00924388"/>
    <w:rsid w:val="00925E52"/>
    <w:rsid w:val="009260BF"/>
    <w:rsid w:val="00926F2F"/>
    <w:rsid w:val="009275EC"/>
    <w:rsid w:val="00932823"/>
    <w:rsid w:val="00932992"/>
    <w:rsid w:val="009332C8"/>
    <w:rsid w:val="00933FF2"/>
    <w:rsid w:val="00934768"/>
    <w:rsid w:val="00935624"/>
    <w:rsid w:val="00935712"/>
    <w:rsid w:val="00935811"/>
    <w:rsid w:val="00936311"/>
    <w:rsid w:val="009364DD"/>
    <w:rsid w:val="00942077"/>
    <w:rsid w:val="009435DA"/>
    <w:rsid w:val="009439B7"/>
    <w:rsid w:val="009449A1"/>
    <w:rsid w:val="00944DF7"/>
    <w:rsid w:val="009459E1"/>
    <w:rsid w:val="0094748B"/>
    <w:rsid w:val="0095172B"/>
    <w:rsid w:val="00955531"/>
    <w:rsid w:val="009559B1"/>
    <w:rsid w:val="00957B1F"/>
    <w:rsid w:val="00960F1C"/>
    <w:rsid w:val="009613BA"/>
    <w:rsid w:val="00961B94"/>
    <w:rsid w:val="00962D06"/>
    <w:rsid w:val="00962D9D"/>
    <w:rsid w:val="00963396"/>
    <w:rsid w:val="009633E8"/>
    <w:rsid w:val="00963FA8"/>
    <w:rsid w:val="00965626"/>
    <w:rsid w:val="00966426"/>
    <w:rsid w:val="00970E54"/>
    <w:rsid w:val="009719C9"/>
    <w:rsid w:val="009731D6"/>
    <w:rsid w:val="009741FA"/>
    <w:rsid w:val="00975873"/>
    <w:rsid w:val="00977191"/>
    <w:rsid w:val="00977ABF"/>
    <w:rsid w:val="00977FFB"/>
    <w:rsid w:val="00980174"/>
    <w:rsid w:val="0098031B"/>
    <w:rsid w:val="0098122D"/>
    <w:rsid w:val="00982220"/>
    <w:rsid w:val="009837AD"/>
    <w:rsid w:val="0098448F"/>
    <w:rsid w:val="00984CD9"/>
    <w:rsid w:val="009850C6"/>
    <w:rsid w:val="00985B88"/>
    <w:rsid w:val="00985E97"/>
    <w:rsid w:val="009860E2"/>
    <w:rsid w:val="009870D3"/>
    <w:rsid w:val="0098737F"/>
    <w:rsid w:val="00990178"/>
    <w:rsid w:val="009907FB"/>
    <w:rsid w:val="00991052"/>
    <w:rsid w:val="009919DC"/>
    <w:rsid w:val="00992812"/>
    <w:rsid w:val="009929C9"/>
    <w:rsid w:val="00992A09"/>
    <w:rsid w:val="0099305A"/>
    <w:rsid w:val="009A0FA5"/>
    <w:rsid w:val="009A1B93"/>
    <w:rsid w:val="009A270B"/>
    <w:rsid w:val="009A2C9F"/>
    <w:rsid w:val="009A37B1"/>
    <w:rsid w:val="009A46BF"/>
    <w:rsid w:val="009A47D0"/>
    <w:rsid w:val="009A6AF1"/>
    <w:rsid w:val="009B19E3"/>
    <w:rsid w:val="009B1E46"/>
    <w:rsid w:val="009B2539"/>
    <w:rsid w:val="009B2788"/>
    <w:rsid w:val="009B325F"/>
    <w:rsid w:val="009B37ED"/>
    <w:rsid w:val="009B3DF3"/>
    <w:rsid w:val="009B5BB5"/>
    <w:rsid w:val="009B690C"/>
    <w:rsid w:val="009C11B6"/>
    <w:rsid w:val="009C429F"/>
    <w:rsid w:val="009C6FBB"/>
    <w:rsid w:val="009C7295"/>
    <w:rsid w:val="009C7892"/>
    <w:rsid w:val="009C7E2D"/>
    <w:rsid w:val="009D1591"/>
    <w:rsid w:val="009D1645"/>
    <w:rsid w:val="009D2257"/>
    <w:rsid w:val="009D2CB7"/>
    <w:rsid w:val="009D2DB4"/>
    <w:rsid w:val="009D4F4E"/>
    <w:rsid w:val="009D7336"/>
    <w:rsid w:val="009D733E"/>
    <w:rsid w:val="009E109A"/>
    <w:rsid w:val="009E11FC"/>
    <w:rsid w:val="009E3436"/>
    <w:rsid w:val="009E3B9B"/>
    <w:rsid w:val="009E49B9"/>
    <w:rsid w:val="009E6919"/>
    <w:rsid w:val="009E71EE"/>
    <w:rsid w:val="009E7C9D"/>
    <w:rsid w:val="009F0543"/>
    <w:rsid w:val="009F0DE1"/>
    <w:rsid w:val="009F158C"/>
    <w:rsid w:val="009F2AC7"/>
    <w:rsid w:val="009F2CD3"/>
    <w:rsid w:val="009F2E82"/>
    <w:rsid w:val="009F691B"/>
    <w:rsid w:val="009F7D1E"/>
    <w:rsid w:val="00A00106"/>
    <w:rsid w:val="00A01A3C"/>
    <w:rsid w:val="00A03023"/>
    <w:rsid w:val="00A03762"/>
    <w:rsid w:val="00A03FC2"/>
    <w:rsid w:val="00A0409F"/>
    <w:rsid w:val="00A05DD8"/>
    <w:rsid w:val="00A061F7"/>
    <w:rsid w:val="00A0744F"/>
    <w:rsid w:val="00A07F5F"/>
    <w:rsid w:val="00A108AF"/>
    <w:rsid w:val="00A10E4B"/>
    <w:rsid w:val="00A10FFA"/>
    <w:rsid w:val="00A12E06"/>
    <w:rsid w:val="00A13243"/>
    <w:rsid w:val="00A13E22"/>
    <w:rsid w:val="00A14E59"/>
    <w:rsid w:val="00A160A2"/>
    <w:rsid w:val="00A16CC7"/>
    <w:rsid w:val="00A176AA"/>
    <w:rsid w:val="00A21ABF"/>
    <w:rsid w:val="00A227E8"/>
    <w:rsid w:val="00A23E8B"/>
    <w:rsid w:val="00A24B69"/>
    <w:rsid w:val="00A253F4"/>
    <w:rsid w:val="00A25683"/>
    <w:rsid w:val="00A25DA5"/>
    <w:rsid w:val="00A31FF9"/>
    <w:rsid w:val="00A328BC"/>
    <w:rsid w:val="00A349B0"/>
    <w:rsid w:val="00A35095"/>
    <w:rsid w:val="00A3576C"/>
    <w:rsid w:val="00A358A3"/>
    <w:rsid w:val="00A36165"/>
    <w:rsid w:val="00A4022F"/>
    <w:rsid w:val="00A42D00"/>
    <w:rsid w:val="00A4316A"/>
    <w:rsid w:val="00A43D52"/>
    <w:rsid w:val="00A45773"/>
    <w:rsid w:val="00A45D8B"/>
    <w:rsid w:val="00A46A99"/>
    <w:rsid w:val="00A51324"/>
    <w:rsid w:val="00A513BA"/>
    <w:rsid w:val="00A52136"/>
    <w:rsid w:val="00A54287"/>
    <w:rsid w:val="00A54D9E"/>
    <w:rsid w:val="00A56658"/>
    <w:rsid w:val="00A57300"/>
    <w:rsid w:val="00A57BC8"/>
    <w:rsid w:val="00A57E5A"/>
    <w:rsid w:val="00A60F86"/>
    <w:rsid w:val="00A610B0"/>
    <w:rsid w:val="00A61662"/>
    <w:rsid w:val="00A64A40"/>
    <w:rsid w:val="00A66DE2"/>
    <w:rsid w:val="00A67B42"/>
    <w:rsid w:val="00A709E9"/>
    <w:rsid w:val="00A71651"/>
    <w:rsid w:val="00A73354"/>
    <w:rsid w:val="00A739F1"/>
    <w:rsid w:val="00A7481C"/>
    <w:rsid w:val="00A74D88"/>
    <w:rsid w:val="00A74E24"/>
    <w:rsid w:val="00A75E44"/>
    <w:rsid w:val="00A75F65"/>
    <w:rsid w:val="00A76B66"/>
    <w:rsid w:val="00A76CDD"/>
    <w:rsid w:val="00A77E58"/>
    <w:rsid w:val="00A80316"/>
    <w:rsid w:val="00A804A0"/>
    <w:rsid w:val="00A811F8"/>
    <w:rsid w:val="00A813A5"/>
    <w:rsid w:val="00A8380D"/>
    <w:rsid w:val="00A85017"/>
    <w:rsid w:val="00A862B4"/>
    <w:rsid w:val="00A86404"/>
    <w:rsid w:val="00A875D0"/>
    <w:rsid w:val="00A87A83"/>
    <w:rsid w:val="00A904D0"/>
    <w:rsid w:val="00A91D4D"/>
    <w:rsid w:val="00A930A7"/>
    <w:rsid w:val="00A943E7"/>
    <w:rsid w:val="00A94BD3"/>
    <w:rsid w:val="00A95535"/>
    <w:rsid w:val="00AA1D86"/>
    <w:rsid w:val="00AA38CF"/>
    <w:rsid w:val="00AA3955"/>
    <w:rsid w:val="00AA4570"/>
    <w:rsid w:val="00AA69F7"/>
    <w:rsid w:val="00AB01A6"/>
    <w:rsid w:val="00AB06A1"/>
    <w:rsid w:val="00AB1302"/>
    <w:rsid w:val="00AB182C"/>
    <w:rsid w:val="00AB2A51"/>
    <w:rsid w:val="00AB32A9"/>
    <w:rsid w:val="00AB3808"/>
    <w:rsid w:val="00AB5864"/>
    <w:rsid w:val="00AB6F2D"/>
    <w:rsid w:val="00AB756A"/>
    <w:rsid w:val="00AB796F"/>
    <w:rsid w:val="00AC0932"/>
    <w:rsid w:val="00AC1D45"/>
    <w:rsid w:val="00AC1D48"/>
    <w:rsid w:val="00AC78AC"/>
    <w:rsid w:val="00AD4A60"/>
    <w:rsid w:val="00AD664A"/>
    <w:rsid w:val="00AE050D"/>
    <w:rsid w:val="00AE0F51"/>
    <w:rsid w:val="00AE109B"/>
    <w:rsid w:val="00AE1AD2"/>
    <w:rsid w:val="00AE4B59"/>
    <w:rsid w:val="00AE4FD3"/>
    <w:rsid w:val="00AE5E65"/>
    <w:rsid w:val="00AE68A0"/>
    <w:rsid w:val="00AF0A7B"/>
    <w:rsid w:val="00AF1143"/>
    <w:rsid w:val="00AF3482"/>
    <w:rsid w:val="00AF38A0"/>
    <w:rsid w:val="00AF4904"/>
    <w:rsid w:val="00AF4FB7"/>
    <w:rsid w:val="00AF51C5"/>
    <w:rsid w:val="00AF525E"/>
    <w:rsid w:val="00AF6A70"/>
    <w:rsid w:val="00B00691"/>
    <w:rsid w:val="00B059B8"/>
    <w:rsid w:val="00B06408"/>
    <w:rsid w:val="00B07BBC"/>
    <w:rsid w:val="00B07D3C"/>
    <w:rsid w:val="00B10B6F"/>
    <w:rsid w:val="00B12319"/>
    <w:rsid w:val="00B12611"/>
    <w:rsid w:val="00B139F1"/>
    <w:rsid w:val="00B14A24"/>
    <w:rsid w:val="00B14B63"/>
    <w:rsid w:val="00B15E58"/>
    <w:rsid w:val="00B16435"/>
    <w:rsid w:val="00B16CE1"/>
    <w:rsid w:val="00B16F22"/>
    <w:rsid w:val="00B1711A"/>
    <w:rsid w:val="00B17F82"/>
    <w:rsid w:val="00B21520"/>
    <w:rsid w:val="00B21821"/>
    <w:rsid w:val="00B21EFC"/>
    <w:rsid w:val="00B2233B"/>
    <w:rsid w:val="00B22746"/>
    <w:rsid w:val="00B2294E"/>
    <w:rsid w:val="00B22BAA"/>
    <w:rsid w:val="00B23A1C"/>
    <w:rsid w:val="00B26265"/>
    <w:rsid w:val="00B26850"/>
    <w:rsid w:val="00B27F24"/>
    <w:rsid w:val="00B30F2F"/>
    <w:rsid w:val="00B31423"/>
    <w:rsid w:val="00B318C0"/>
    <w:rsid w:val="00B329F8"/>
    <w:rsid w:val="00B32A3F"/>
    <w:rsid w:val="00B34345"/>
    <w:rsid w:val="00B34814"/>
    <w:rsid w:val="00B34E35"/>
    <w:rsid w:val="00B34FAB"/>
    <w:rsid w:val="00B35FD2"/>
    <w:rsid w:val="00B41EC7"/>
    <w:rsid w:val="00B423B4"/>
    <w:rsid w:val="00B43079"/>
    <w:rsid w:val="00B43297"/>
    <w:rsid w:val="00B47542"/>
    <w:rsid w:val="00B50792"/>
    <w:rsid w:val="00B51031"/>
    <w:rsid w:val="00B5105A"/>
    <w:rsid w:val="00B52D81"/>
    <w:rsid w:val="00B55047"/>
    <w:rsid w:val="00B55B06"/>
    <w:rsid w:val="00B5693C"/>
    <w:rsid w:val="00B56A85"/>
    <w:rsid w:val="00B57A25"/>
    <w:rsid w:val="00B60AD4"/>
    <w:rsid w:val="00B60E96"/>
    <w:rsid w:val="00B61B8C"/>
    <w:rsid w:val="00B65B54"/>
    <w:rsid w:val="00B678DE"/>
    <w:rsid w:val="00B72AEF"/>
    <w:rsid w:val="00B73B39"/>
    <w:rsid w:val="00B73F9A"/>
    <w:rsid w:val="00B74AE8"/>
    <w:rsid w:val="00B75A51"/>
    <w:rsid w:val="00B75C81"/>
    <w:rsid w:val="00B7684D"/>
    <w:rsid w:val="00B77E4C"/>
    <w:rsid w:val="00B80738"/>
    <w:rsid w:val="00B8074E"/>
    <w:rsid w:val="00B820D4"/>
    <w:rsid w:val="00B834CC"/>
    <w:rsid w:val="00B84027"/>
    <w:rsid w:val="00B84880"/>
    <w:rsid w:val="00B84C68"/>
    <w:rsid w:val="00B853AD"/>
    <w:rsid w:val="00B8690B"/>
    <w:rsid w:val="00B87760"/>
    <w:rsid w:val="00B9135E"/>
    <w:rsid w:val="00B915F3"/>
    <w:rsid w:val="00B92C74"/>
    <w:rsid w:val="00B92F56"/>
    <w:rsid w:val="00B93323"/>
    <w:rsid w:val="00B9464C"/>
    <w:rsid w:val="00B951E2"/>
    <w:rsid w:val="00B95C19"/>
    <w:rsid w:val="00B95D4F"/>
    <w:rsid w:val="00B97322"/>
    <w:rsid w:val="00B9768B"/>
    <w:rsid w:val="00BA013A"/>
    <w:rsid w:val="00BA1129"/>
    <w:rsid w:val="00BA20C7"/>
    <w:rsid w:val="00BA327C"/>
    <w:rsid w:val="00BA32EA"/>
    <w:rsid w:val="00BA4E72"/>
    <w:rsid w:val="00BA5A72"/>
    <w:rsid w:val="00BA60C4"/>
    <w:rsid w:val="00BA64DE"/>
    <w:rsid w:val="00BA73E7"/>
    <w:rsid w:val="00BB07E2"/>
    <w:rsid w:val="00BB0DB5"/>
    <w:rsid w:val="00BB22EA"/>
    <w:rsid w:val="00BB3185"/>
    <w:rsid w:val="00BB6571"/>
    <w:rsid w:val="00BB68B1"/>
    <w:rsid w:val="00BC5846"/>
    <w:rsid w:val="00BC5BDC"/>
    <w:rsid w:val="00BC6BD3"/>
    <w:rsid w:val="00BC79D0"/>
    <w:rsid w:val="00BD2E89"/>
    <w:rsid w:val="00BD5056"/>
    <w:rsid w:val="00BD5CDF"/>
    <w:rsid w:val="00BD5FAC"/>
    <w:rsid w:val="00BD7471"/>
    <w:rsid w:val="00BD7A47"/>
    <w:rsid w:val="00BE0C5B"/>
    <w:rsid w:val="00BE0E07"/>
    <w:rsid w:val="00BE2846"/>
    <w:rsid w:val="00BE627B"/>
    <w:rsid w:val="00BE6376"/>
    <w:rsid w:val="00BE7F4B"/>
    <w:rsid w:val="00BF0398"/>
    <w:rsid w:val="00BF0CB1"/>
    <w:rsid w:val="00BF0D46"/>
    <w:rsid w:val="00BF2219"/>
    <w:rsid w:val="00BF28BF"/>
    <w:rsid w:val="00BF3092"/>
    <w:rsid w:val="00BF4A5B"/>
    <w:rsid w:val="00BF51D8"/>
    <w:rsid w:val="00BF56B8"/>
    <w:rsid w:val="00BF607F"/>
    <w:rsid w:val="00BF6285"/>
    <w:rsid w:val="00BF69E4"/>
    <w:rsid w:val="00BF6CC5"/>
    <w:rsid w:val="00BF72A2"/>
    <w:rsid w:val="00C0236A"/>
    <w:rsid w:val="00C02412"/>
    <w:rsid w:val="00C03545"/>
    <w:rsid w:val="00C035BC"/>
    <w:rsid w:val="00C04211"/>
    <w:rsid w:val="00C0505B"/>
    <w:rsid w:val="00C05074"/>
    <w:rsid w:val="00C063D4"/>
    <w:rsid w:val="00C0706F"/>
    <w:rsid w:val="00C0769A"/>
    <w:rsid w:val="00C07DE9"/>
    <w:rsid w:val="00C1059C"/>
    <w:rsid w:val="00C10731"/>
    <w:rsid w:val="00C11153"/>
    <w:rsid w:val="00C12074"/>
    <w:rsid w:val="00C12B9B"/>
    <w:rsid w:val="00C12C69"/>
    <w:rsid w:val="00C13B0B"/>
    <w:rsid w:val="00C13F29"/>
    <w:rsid w:val="00C17284"/>
    <w:rsid w:val="00C17303"/>
    <w:rsid w:val="00C2034D"/>
    <w:rsid w:val="00C204BC"/>
    <w:rsid w:val="00C213E7"/>
    <w:rsid w:val="00C21EAE"/>
    <w:rsid w:val="00C24276"/>
    <w:rsid w:val="00C24F61"/>
    <w:rsid w:val="00C256D4"/>
    <w:rsid w:val="00C25A1E"/>
    <w:rsid w:val="00C27443"/>
    <w:rsid w:val="00C312A6"/>
    <w:rsid w:val="00C31CE2"/>
    <w:rsid w:val="00C31F98"/>
    <w:rsid w:val="00C32F44"/>
    <w:rsid w:val="00C32F8D"/>
    <w:rsid w:val="00C3399A"/>
    <w:rsid w:val="00C34295"/>
    <w:rsid w:val="00C35813"/>
    <w:rsid w:val="00C35A5B"/>
    <w:rsid w:val="00C37348"/>
    <w:rsid w:val="00C443F1"/>
    <w:rsid w:val="00C44AB5"/>
    <w:rsid w:val="00C44C6C"/>
    <w:rsid w:val="00C461DE"/>
    <w:rsid w:val="00C46636"/>
    <w:rsid w:val="00C46717"/>
    <w:rsid w:val="00C46994"/>
    <w:rsid w:val="00C47DAD"/>
    <w:rsid w:val="00C50F37"/>
    <w:rsid w:val="00C5176B"/>
    <w:rsid w:val="00C5229B"/>
    <w:rsid w:val="00C54BD8"/>
    <w:rsid w:val="00C56490"/>
    <w:rsid w:val="00C6013A"/>
    <w:rsid w:val="00C6138B"/>
    <w:rsid w:val="00C61438"/>
    <w:rsid w:val="00C626FE"/>
    <w:rsid w:val="00C64F1D"/>
    <w:rsid w:val="00C658D6"/>
    <w:rsid w:val="00C67022"/>
    <w:rsid w:val="00C67433"/>
    <w:rsid w:val="00C67780"/>
    <w:rsid w:val="00C739C9"/>
    <w:rsid w:val="00C747F4"/>
    <w:rsid w:val="00C774B0"/>
    <w:rsid w:val="00C83108"/>
    <w:rsid w:val="00C84C15"/>
    <w:rsid w:val="00C90300"/>
    <w:rsid w:val="00C9169E"/>
    <w:rsid w:val="00C91B56"/>
    <w:rsid w:val="00C91EDD"/>
    <w:rsid w:val="00C942F1"/>
    <w:rsid w:val="00C944BA"/>
    <w:rsid w:val="00C94796"/>
    <w:rsid w:val="00C94EE8"/>
    <w:rsid w:val="00C95B1B"/>
    <w:rsid w:val="00C970B9"/>
    <w:rsid w:val="00C9782F"/>
    <w:rsid w:val="00CA028A"/>
    <w:rsid w:val="00CA2163"/>
    <w:rsid w:val="00CA4150"/>
    <w:rsid w:val="00CA495E"/>
    <w:rsid w:val="00CA51AB"/>
    <w:rsid w:val="00CA5707"/>
    <w:rsid w:val="00CB113C"/>
    <w:rsid w:val="00CB33BC"/>
    <w:rsid w:val="00CB40A1"/>
    <w:rsid w:val="00CB4542"/>
    <w:rsid w:val="00CB4DBD"/>
    <w:rsid w:val="00CB6641"/>
    <w:rsid w:val="00CC0EE0"/>
    <w:rsid w:val="00CC1065"/>
    <w:rsid w:val="00CC21FF"/>
    <w:rsid w:val="00CC2E62"/>
    <w:rsid w:val="00CC3035"/>
    <w:rsid w:val="00CC32FC"/>
    <w:rsid w:val="00CC3851"/>
    <w:rsid w:val="00CC61EC"/>
    <w:rsid w:val="00CC6949"/>
    <w:rsid w:val="00CC7C0B"/>
    <w:rsid w:val="00CD03B5"/>
    <w:rsid w:val="00CD1475"/>
    <w:rsid w:val="00CD1F5B"/>
    <w:rsid w:val="00CD3E76"/>
    <w:rsid w:val="00CD410C"/>
    <w:rsid w:val="00CD56E7"/>
    <w:rsid w:val="00CD62ED"/>
    <w:rsid w:val="00CE0C55"/>
    <w:rsid w:val="00CE1589"/>
    <w:rsid w:val="00CE25A2"/>
    <w:rsid w:val="00CE2B5C"/>
    <w:rsid w:val="00CE4F0C"/>
    <w:rsid w:val="00CE57EC"/>
    <w:rsid w:val="00CE5A10"/>
    <w:rsid w:val="00CF19FA"/>
    <w:rsid w:val="00CF1A80"/>
    <w:rsid w:val="00CF324F"/>
    <w:rsid w:val="00CF4ECE"/>
    <w:rsid w:val="00CF6A1F"/>
    <w:rsid w:val="00D00F47"/>
    <w:rsid w:val="00D02790"/>
    <w:rsid w:val="00D0333D"/>
    <w:rsid w:val="00D0620A"/>
    <w:rsid w:val="00D0780D"/>
    <w:rsid w:val="00D07CD9"/>
    <w:rsid w:val="00D113C2"/>
    <w:rsid w:val="00D11AAF"/>
    <w:rsid w:val="00D154C1"/>
    <w:rsid w:val="00D15948"/>
    <w:rsid w:val="00D1626C"/>
    <w:rsid w:val="00D219E4"/>
    <w:rsid w:val="00D21BFB"/>
    <w:rsid w:val="00D21E3F"/>
    <w:rsid w:val="00D220D9"/>
    <w:rsid w:val="00D225E6"/>
    <w:rsid w:val="00D24586"/>
    <w:rsid w:val="00D2689F"/>
    <w:rsid w:val="00D30265"/>
    <w:rsid w:val="00D30372"/>
    <w:rsid w:val="00D30AA4"/>
    <w:rsid w:val="00D30CA6"/>
    <w:rsid w:val="00D32263"/>
    <w:rsid w:val="00D346D0"/>
    <w:rsid w:val="00D36091"/>
    <w:rsid w:val="00D37086"/>
    <w:rsid w:val="00D37492"/>
    <w:rsid w:val="00D37B6E"/>
    <w:rsid w:val="00D41648"/>
    <w:rsid w:val="00D41B25"/>
    <w:rsid w:val="00D4321A"/>
    <w:rsid w:val="00D4445D"/>
    <w:rsid w:val="00D44879"/>
    <w:rsid w:val="00D44B6A"/>
    <w:rsid w:val="00D455A0"/>
    <w:rsid w:val="00D4600F"/>
    <w:rsid w:val="00D467E4"/>
    <w:rsid w:val="00D473F6"/>
    <w:rsid w:val="00D4786F"/>
    <w:rsid w:val="00D50B6A"/>
    <w:rsid w:val="00D51BAE"/>
    <w:rsid w:val="00D53643"/>
    <w:rsid w:val="00D57975"/>
    <w:rsid w:val="00D60675"/>
    <w:rsid w:val="00D61020"/>
    <w:rsid w:val="00D6336E"/>
    <w:rsid w:val="00D64D1A"/>
    <w:rsid w:val="00D66BEB"/>
    <w:rsid w:val="00D66ED5"/>
    <w:rsid w:val="00D7044E"/>
    <w:rsid w:val="00D70DB0"/>
    <w:rsid w:val="00D70F38"/>
    <w:rsid w:val="00D73931"/>
    <w:rsid w:val="00D7452D"/>
    <w:rsid w:val="00D7541C"/>
    <w:rsid w:val="00D762AE"/>
    <w:rsid w:val="00D7634B"/>
    <w:rsid w:val="00D76D5D"/>
    <w:rsid w:val="00D8118C"/>
    <w:rsid w:val="00D81B66"/>
    <w:rsid w:val="00D83CE9"/>
    <w:rsid w:val="00D84AE3"/>
    <w:rsid w:val="00D85740"/>
    <w:rsid w:val="00D860E9"/>
    <w:rsid w:val="00D86C52"/>
    <w:rsid w:val="00D91256"/>
    <w:rsid w:val="00D922B7"/>
    <w:rsid w:val="00D94817"/>
    <w:rsid w:val="00D968B2"/>
    <w:rsid w:val="00D96D81"/>
    <w:rsid w:val="00DA1242"/>
    <w:rsid w:val="00DA1DA3"/>
    <w:rsid w:val="00DA2144"/>
    <w:rsid w:val="00DA2EAD"/>
    <w:rsid w:val="00DA413B"/>
    <w:rsid w:val="00DA4E31"/>
    <w:rsid w:val="00DB14AB"/>
    <w:rsid w:val="00DB184C"/>
    <w:rsid w:val="00DB1F31"/>
    <w:rsid w:val="00DB3080"/>
    <w:rsid w:val="00DB3ECB"/>
    <w:rsid w:val="00DB6D6E"/>
    <w:rsid w:val="00DB6DFB"/>
    <w:rsid w:val="00DC173E"/>
    <w:rsid w:val="00DC29B5"/>
    <w:rsid w:val="00DC33D4"/>
    <w:rsid w:val="00DC5310"/>
    <w:rsid w:val="00DC57B1"/>
    <w:rsid w:val="00DC6E2C"/>
    <w:rsid w:val="00DD0034"/>
    <w:rsid w:val="00DD01F7"/>
    <w:rsid w:val="00DD2527"/>
    <w:rsid w:val="00DD2D6F"/>
    <w:rsid w:val="00DD314D"/>
    <w:rsid w:val="00DD31A8"/>
    <w:rsid w:val="00DD3D12"/>
    <w:rsid w:val="00DD5C1E"/>
    <w:rsid w:val="00DD601E"/>
    <w:rsid w:val="00DD6FB7"/>
    <w:rsid w:val="00DE05A7"/>
    <w:rsid w:val="00DE07D3"/>
    <w:rsid w:val="00DE0F4E"/>
    <w:rsid w:val="00DE1792"/>
    <w:rsid w:val="00DE43C4"/>
    <w:rsid w:val="00DE5D92"/>
    <w:rsid w:val="00DF0694"/>
    <w:rsid w:val="00DF0AEA"/>
    <w:rsid w:val="00DF0D68"/>
    <w:rsid w:val="00DF160D"/>
    <w:rsid w:val="00DF1C63"/>
    <w:rsid w:val="00DF255D"/>
    <w:rsid w:val="00DF265D"/>
    <w:rsid w:val="00DF28A8"/>
    <w:rsid w:val="00DF39EB"/>
    <w:rsid w:val="00DF4474"/>
    <w:rsid w:val="00DF4516"/>
    <w:rsid w:val="00DF4C19"/>
    <w:rsid w:val="00DF6953"/>
    <w:rsid w:val="00DF6E6C"/>
    <w:rsid w:val="00DF76E8"/>
    <w:rsid w:val="00DF7D19"/>
    <w:rsid w:val="00E00927"/>
    <w:rsid w:val="00E01C62"/>
    <w:rsid w:val="00E052E5"/>
    <w:rsid w:val="00E05AE6"/>
    <w:rsid w:val="00E05B81"/>
    <w:rsid w:val="00E07468"/>
    <w:rsid w:val="00E076AE"/>
    <w:rsid w:val="00E07FD3"/>
    <w:rsid w:val="00E11442"/>
    <w:rsid w:val="00E11EAC"/>
    <w:rsid w:val="00E1202F"/>
    <w:rsid w:val="00E12A9D"/>
    <w:rsid w:val="00E12ADE"/>
    <w:rsid w:val="00E13D11"/>
    <w:rsid w:val="00E14B9D"/>
    <w:rsid w:val="00E151B2"/>
    <w:rsid w:val="00E164A0"/>
    <w:rsid w:val="00E2087A"/>
    <w:rsid w:val="00E21A71"/>
    <w:rsid w:val="00E22F07"/>
    <w:rsid w:val="00E231C4"/>
    <w:rsid w:val="00E23A00"/>
    <w:rsid w:val="00E2557E"/>
    <w:rsid w:val="00E26100"/>
    <w:rsid w:val="00E30856"/>
    <w:rsid w:val="00E3141D"/>
    <w:rsid w:val="00E32EA5"/>
    <w:rsid w:val="00E33CAE"/>
    <w:rsid w:val="00E33CF6"/>
    <w:rsid w:val="00E3459E"/>
    <w:rsid w:val="00E353B1"/>
    <w:rsid w:val="00E35717"/>
    <w:rsid w:val="00E35A4A"/>
    <w:rsid w:val="00E35A56"/>
    <w:rsid w:val="00E409B4"/>
    <w:rsid w:val="00E40FC6"/>
    <w:rsid w:val="00E41A01"/>
    <w:rsid w:val="00E41C00"/>
    <w:rsid w:val="00E43D09"/>
    <w:rsid w:val="00E45776"/>
    <w:rsid w:val="00E45C5F"/>
    <w:rsid w:val="00E472C7"/>
    <w:rsid w:val="00E509E9"/>
    <w:rsid w:val="00E52A4B"/>
    <w:rsid w:val="00E535F9"/>
    <w:rsid w:val="00E53E55"/>
    <w:rsid w:val="00E54718"/>
    <w:rsid w:val="00E571C8"/>
    <w:rsid w:val="00E5745D"/>
    <w:rsid w:val="00E57711"/>
    <w:rsid w:val="00E57814"/>
    <w:rsid w:val="00E600E2"/>
    <w:rsid w:val="00E604AA"/>
    <w:rsid w:val="00E605C0"/>
    <w:rsid w:val="00E61247"/>
    <w:rsid w:val="00E61558"/>
    <w:rsid w:val="00E62AFC"/>
    <w:rsid w:val="00E63380"/>
    <w:rsid w:val="00E64D4B"/>
    <w:rsid w:val="00E64E03"/>
    <w:rsid w:val="00E66E43"/>
    <w:rsid w:val="00E672FB"/>
    <w:rsid w:val="00E70817"/>
    <w:rsid w:val="00E718B5"/>
    <w:rsid w:val="00E7281E"/>
    <w:rsid w:val="00E731A7"/>
    <w:rsid w:val="00E7565F"/>
    <w:rsid w:val="00E75E4D"/>
    <w:rsid w:val="00E7746A"/>
    <w:rsid w:val="00E804FB"/>
    <w:rsid w:val="00E81AED"/>
    <w:rsid w:val="00E81BBD"/>
    <w:rsid w:val="00E84114"/>
    <w:rsid w:val="00E85A55"/>
    <w:rsid w:val="00E87208"/>
    <w:rsid w:val="00E87AD0"/>
    <w:rsid w:val="00E90C3E"/>
    <w:rsid w:val="00E930D3"/>
    <w:rsid w:val="00E95A3A"/>
    <w:rsid w:val="00E95EDE"/>
    <w:rsid w:val="00E9603F"/>
    <w:rsid w:val="00E96519"/>
    <w:rsid w:val="00E972F1"/>
    <w:rsid w:val="00E97474"/>
    <w:rsid w:val="00EA251C"/>
    <w:rsid w:val="00EA6D3E"/>
    <w:rsid w:val="00EA72D8"/>
    <w:rsid w:val="00EB0B4D"/>
    <w:rsid w:val="00EB2DBA"/>
    <w:rsid w:val="00EB3640"/>
    <w:rsid w:val="00EB4453"/>
    <w:rsid w:val="00EB5BC4"/>
    <w:rsid w:val="00EB643B"/>
    <w:rsid w:val="00EB6F67"/>
    <w:rsid w:val="00EB6FBF"/>
    <w:rsid w:val="00EB7F5E"/>
    <w:rsid w:val="00EC0736"/>
    <w:rsid w:val="00EC1703"/>
    <w:rsid w:val="00EC1A87"/>
    <w:rsid w:val="00EC2DBE"/>
    <w:rsid w:val="00EC42EA"/>
    <w:rsid w:val="00EC4941"/>
    <w:rsid w:val="00EC57CD"/>
    <w:rsid w:val="00EC78D8"/>
    <w:rsid w:val="00EC7D1A"/>
    <w:rsid w:val="00EC7F1D"/>
    <w:rsid w:val="00ED0E40"/>
    <w:rsid w:val="00ED1210"/>
    <w:rsid w:val="00ED1A6D"/>
    <w:rsid w:val="00ED225D"/>
    <w:rsid w:val="00ED2E21"/>
    <w:rsid w:val="00ED3098"/>
    <w:rsid w:val="00ED35B0"/>
    <w:rsid w:val="00ED40F1"/>
    <w:rsid w:val="00ED4B43"/>
    <w:rsid w:val="00ED4DD3"/>
    <w:rsid w:val="00ED56D5"/>
    <w:rsid w:val="00ED597A"/>
    <w:rsid w:val="00ED5E8A"/>
    <w:rsid w:val="00ED7903"/>
    <w:rsid w:val="00ED7E23"/>
    <w:rsid w:val="00EE1E5D"/>
    <w:rsid w:val="00EE3243"/>
    <w:rsid w:val="00EE3C52"/>
    <w:rsid w:val="00EE463F"/>
    <w:rsid w:val="00EE4AD2"/>
    <w:rsid w:val="00EE682B"/>
    <w:rsid w:val="00EE682E"/>
    <w:rsid w:val="00EF01DD"/>
    <w:rsid w:val="00EF0FE7"/>
    <w:rsid w:val="00EF1186"/>
    <w:rsid w:val="00EF1A0F"/>
    <w:rsid w:val="00EF2133"/>
    <w:rsid w:val="00EF269E"/>
    <w:rsid w:val="00EF30FB"/>
    <w:rsid w:val="00EF6B1E"/>
    <w:rsid w:val="00F0089C"/>
    <w:rsid w:val="00F026E9"/>
    <w:rsid w:val="00F03193"/>
    <w:rsid w:val="00F0350E"/>
    <w:rsid w:val="00F046C0"/>
    <w:rsid w:val="00F04C34"/>
    <w:rsid w:val="00F04D38"/>
    <w:rsid w:val="00F0545E"/>
    <w:rsid w:val="00F05D02"/>
    <w:rsid w:val="00F063B6"/>
    <w:rsid w:val="00F066DF"/>
    <w:rsid w:val="00F101C3"/>
    <w:rsid w:val="00F10A86"/>
    <w:rsid w:val="00F1271F"/>
    <w:rsid w:val="00F14FA5"/>
    <w:rsid w:val="00F15CBA"/>
    <w:rsid w:val="00F15CF2"/>
    <w:rsid w:val="00F1651D"/>
    <w:rsid w:val="00F16EAB"/>
    <w:rsid w:val="00F172A0"/>
    <w:rsid w:val="00F210A4"/>
    <w:rsid w:val="00F212CF"/>
    <w:rsid w:val="00F22561"/>
    <w:rsid w:val="00F23F06"/>
    <w:rsid w:val="00F24170"/>
    <w:rsid w:val="00F263EB"/>
    <w:rsid w:val="00F26C56"/>
    <w:rsid w:val="00F275AA"/>
    <w:rsid w:val="00F302BB"/>
    <w:rsid w:val="00F302DC"/>
    <w:rsid w:val="00F3234E"/>
    <w:rsid w:val="00F366E8"/>
    <w:rsid w:val="00F37941"/>
    <w:rsid w:val="00F42741"/>
    <w:rsid w:val="00F4296C"/>
    <w:rsid w:val="00F4417C"/>
    <w:rsid w:val="00F45E30"/>
    <w:rsid w:val="00F45F0B"/>
    <w:rsid w:val="00F46457"/>
    <w:rsid w:val="00F47CF6"/>
    <w:rsid w:val="00F50125"/>
    <w:rsid w:val="00F50684"/>
    <w:rsid w:val="00F54885"/>
    <w:rsid w:val="00F54B30"/>
    <w:rsid w:val="00F559B8"/>
    <w:rsid w:val="00F61AB0"/>
    <w:rsid w:val="00F628A2"/>
    <w:rsid w:val="00F63D96"/>
    <w:rsid w:val="00F64D7A"/>
    <w:rsid w:val="00F65BA6"/>
    <w:rsid w:val="00F670DE"/>
    <w:rsid w:val="00F674D8"/>
    <w:rsid w:val="00F67EC2"/>
    <w:rsid w:val="00F715B0"/>
    <w:rsid w:val="00F71CAE"/>
    <w:rsid w:val="00F74FA5"/>
    <w:rsid w:val="00F7530D"/>
    <w:rsid w:val="00F76C44"/>
    <w:rsid w:val="00F77E58"/>
    <w:rsid w:val="00F82372"/>
    <w:rsid w:val="00F824C0"/>
    <w:rsid w:val="00F826DA"/>
    <w:rsid w:val="00F86FBD"/>
    <w:rsid w:val="00F873C4"/>
    <w:rsid w:val="00F90F75"/>
    <w:rsid w:val="00F92CAC"/>
    <w:rsid w:val="00F942E5"/>
    <w:rsid w:val="00F96491"/>
    <w:rsid w:val="00F97D7C"/>
    <w:rsid w:val="00F97F9E"/>
    <w:rsid w:val="00FA0425"/>
    <w:rsid w:val="00FA384F"/>
    <w:rsid w:val="00FA40C1"/>
    <w:rsid w:val="00FA425B"/>
    <w:rsid w:val="00FA528D"/>
    <w:rsid w:val="00FB127A"/>
    <w:rsid w:val="00FB195C"/>
    <w:rsid w:val="00FB3AB4"/>
    <w:rsid w:val="00FC2025"/>
    <w:rsid w:val="00FC57EA"/>
    <w:rsid w:val="00FC66EA"/>
    <w:rsid w:val="00FC6FF0"/>
    <w:rsid w:val="00FC7C10"/>
    <w:rsid w:val="00FD0275"/>
    <w:rsid w:val="00FD0590"/>
    <w:rsid w:val="00FD080C"/>
    <w:rsid w:val="00FD478C"/>
    <w:rsid w:val="00FD4E11"/>
    <w:rsid w:val="00FD55F3"/>
    <w:rsid w:val="00FD730B"/>
    <w:rsid w:val="00FD7A33"/>
    <w:rsid w:val="00FD7CAD"/>
    <w:rsid w:val="00FE0A80"/>
    <w:rsid w:val="00FE2EE5"/>
    <w:rsid w:val="00FE3464"/>
    <w:rsid w:val="00FE45EF"/>
    <w:rsid w:val="00FE5C67"/>
    <w:rsid w:val="00FE71F1"/>
    <w:rsid w:val="00FE779E"/>
    <w:rsid w:val="00FE7859"/>
    <w:rsid w:val="00FF0F19"/>
    <w:rsid w:val="00FF15FB"/>
    <w:rsid w:val="00FF2BFD"/>
    <w:rsid w:val="00FF3198"/>
    <w:rsid w:val="00FF4286"/>
    <w:rsid w:val="00FF53B6"/>
    <w:rsid w:val="00FF59DB"/>
    <w:rsid w:val="00FF61AF"/>
    <w:rsid w:val="00FF71F8"/>
    <w:rsid w:val="02682C2B"/>
    <w:rsid w:val="027A5940"/>
    <w:rsid w:val="038F0F1F"/>
    <w:rsid w:val="042711AF"/>
    <w:rsid w:val="04FA4B16"/>
    <w:rsid w:val="06063541"/>
    <w:rsid w:val="061D4E51"/>
    <w:rsid w:val="068D509B"/>
    <w:rsid w:val="07E76EF1"/>
    <w:rsid w:val="08191D6D"/>
    <w:rsid w:val="08C908C6"/>
    <w:rsid w:val="0A14667A"/>
    <w:rsid w:val="0A391C3C"/>
    <w:rsid w:val="0A8D64B8"/>
    <w:rsid w:val="0B0B53CC"/>
    <w:rsid w:val="0B644F84"/>
    <w:rsid w:val="0BE369D7"/>
    <w:rsid w:val="0E601EEA"/>
    <w:rsid w:val="0E751D82"/>
    <w:rsid w:val="0F83266D"/>
    <w:rsid w:val="119810C6"/>
    <w:rsid w:val="12B12404"/>
    <w:rsid w:val="12D7558D"/>
    <w:rsid w:val="141F7749"/>
    <w:rsid w:val="1476521B"/>
    <w:rsid w:val="14AF0DD5"/>
    <w:rsid w:val="14D31A4B"/>
    <w:rsid w:val="15802BC4"/>
    <w:rsid w:val="15D00040"/>
    <w:rsid w:val="16AE67F9"/>
    <w:rsid w:val="16D84061"/>
    <w:rsid w:val="180264AD"/>
    <w:rsid w:val="19EE7828"/>
    <w:rsid w:val="1A662DB7"/>
    <w:rsid w:val="1B122590"/>
    <w:rsid w:val="1B9D5E86"/>
    <w:rsid w:val="1CFE1560"/>
    <w:rsid w:val="1D3A2F23"/>
    <w:rsid w:val="1DE170D3"/>
    <w:rsid w:val="1E177ABD"/>
    <w:rsid w:val="1F9D516C"/>
    <w:rsid w:val="20952135"/>
    <w:rsid w:val="20C20786"/>
    <w:rsid w:val="211E2B06"/>
    <w:rsid w:val="21D4251F"/>
    <w:rsid w:val="21DA6EDD"/>
    <w:rsid w:val="222D46CD"/>
    <w:rsid w:val="22B35D3A"/>
    <w:rsid w:val="22EA261A"/>
    <w:rsid w:val="241E3108"/>
    <w:rsid w:val="27433A64"/>
    <w:rsid w:val="275B515A"/>
    <w:rsid w:val="28BC4D3B"/>
    <w:rsid w:val="2DC808F9"/>
    <w:rsid w:val="2E0D725B"/>
    <w:rsid w:val="2EAB7E01"/>
    <w:rsid w:val="2F2F3431"/>
    <w:rsid w:val="302D2F5A"/>
    <w:rsid w:val="31544158"/>
    <w:rsid w:val="3171651C"/>
    <w:rsid w:val="31C266BD"/>
    <w:rsid w:val="31CE0487"/>
    <w:rsid w:val="329E098B"/>
    <w:rsid w:val="33193B83"/>
    <w:rsid w:val="34B715BD"/>
    <w:rsid w:val="35C1097D"/>
    <w:rsid w:val="36106B9F"/>
    <w:rsid w:val="36477265"/>
    <w:rsid w:val="36C85E5E"/>
    <w:rsid w:val="38686C22"/>
    <w:rsid w:val="391677C1"/>
    <w:rsid w:val="3BBB7324"/>
    <w:rsid w:val="3D455B2E"/>
    <w:rsid w:val="3D4A7124"/>
    <w:rsid w:val="3EEB41C5"/>
    <w:rsid w:val="3FA64E64"/>
    <w:rsid w:val="401518D8"/>
    <w:rsid w:val="432D6DAD"/>
    <w:rsid w:val="437723C7"/>
    <w:rsid w:val="45301349"/>
    <w:rsid w:val="45B03376"/>
    <w:rsid w:val="45E226B4"/>
    <w:rsid w:val="4624157A"/>
    <w:rsid w:val="47D6180B"/>
    <w:rsid w:val="48E06E7B"/>
    <w:rsid w:val="4A3A795F"/>
    <w:rsid w:val="4B234021"/>
    <w:rsid w:val="4B655726"/>
    <w:rsid w:val="4B7170D2"/>
    <w:rsid w:val="4CB15F55"/>
    <w:rsid w:val="4CF010EF"/>
    <w:rsid w:val="4E233FD3"/>
    <w:rsid w:val="4EC726FD"/>
    <w:rsid w:val="4EFD799F"/>
    <w:rsid w:val="50E132F4"/>
    <w:rsid w:val="519D76DB"/>
    <w:rsid w:val="51A74CAA"/>
    <w:rsid w:val="532A271B"/>
    <w:rsid w:val="53712FF6"/>
    <w:rsid w:val="550F28D5"/>
    <w:rsid w:val="558B4D61"/>
    <w:rsid w:val="55E26D6F"/>
    <w:rsid w:val="56DD399E"/>
    <w:rsid w:val="56ED1B0D"/>
    <w:rsid w:val="57391523"/>
    <w:rsid w:val="58430012"/>
    <w:rsid w:val="58FF2CBD"/>
    <w:rsid w:val="597364A9"/>
    <w:rsid w:val="59D8630B"/>
    <w:rsid w:val="59F105E2"/>
    <w:rsid w:val="5A5D0F76"/>
    <w:rsid w:val="5A8601BA"/>
    <w:rsid w:val="5C742781"/>
    <w:rsid w:val="5D4B5008"/>
    <w:rsid w:val="5E385C8F"/>
    <w:rsid w:val="5E6E3076"/>
    <w:rsid w:val="5EB153BA"/>
    <w:rsid w:val="5FF3680F"/>
    <w:rsid w:val="60341545"/>
    <w:rsid w:val="6044229C"/>
    <w:rsid w:val="614D7A91"/>
    <w:rsid w:val="63442359"/>
    <w:rsid w:val="65424FBE"/>
    <w:rsid w:val="655C78B5"/>
    <w:rsid w:val="659A77B4"/>
    <w:rsid w:val="666C2141"/>
    <w:rsid w:val="66A25596"/>
    <w:rsid w:val="674B1E6E"/>
    <w:rsid w:val="68F726B3"/>
    <w:rsid w:val="6A0E36C1"/>
    <w:rsid w:val="6B4C1259"/>
    <w:rsid w:val="6BBF1117"/>
    <w:rsid w:val="6BBF3299"/>
    <w:rsid w:val="6C0E1111"/>
    <w:rsid w:val="6D171A7E"/>
    <w:rsid w:val="6F252AAB"/>
    <w:rsid w:val="6FFA72A4"/>
    <w:rsid w:val="708964F6"/>
    <w:rsid w:val="717915D0"/>
    <w:rsid w:val="71C635B6"/>
    <w:rsid w:val="730E3B0B"/>
    <w:rsid w:val="73DE5A00"/>
    <w:rsid w:val="73E13A89"/>
    <w:rsid w:val="751C1BB2"/>
    <w:rsid w:val="75564BB7"/>
    <w:rsid w:val="76977215"/>
    <w:rsid w:val="776C12E0"/>
    <w:rsid w:val="77D97382"/>
    <w:rsid w:val="77F42148"/>
    <w:rsid w:val="78886D34"/>
    <w:rsid w:val="79F96FED"/>
    <w:rsid w:val="7B6B7612"/>
    <w:rsid w:val="7B9673C7"/>
    <w:rsid w:val="7BE90123"/>
    <w:rsid w:val="7C4368C4"/>
    <w:rsid w:val="7D2A438E"/>
    <w:rsid w:val="7D892E81"/>
    <w:rsid w:val="7DD9296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iPriority="0" w:semiHidden="0" w:name="toc 1"/>
    <w:lsdException w:qFormat="1" w:uiPriority="39"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sz w:val="21"/>
      <w:szCs w:val="4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rPr>
  </w:style>
  <w:style w:type="paragraph" w:styleId="4">
    <w:name w:val="heading 2"/>
    <w:basedOn w:val="1"/>
    <w:next w:val="1"/>
    <w:link w:val="45"/>
    <w:semiHidden/>
    <w:unhideWhenUsed/>
    <w:qFormat/>
    <w:uiPriority w:val="0"/>
    <w:pPr>
      <w:keepNext/>
      <w:keepLines/>
      <w:spacing w:before="260" w:after="260" w:line="413" w:lineRule="auto"/>
      <w:outlineLvl w:val="1"/>
    </w:pPr>
    <w:rPr>
      <w:rFonts w:ascii="Arial" w:hAnsi="Arial" w:eastAsia="黑体"/>
      <w:b/>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sz w:val="24"/>
      <w:lang w:val="zh-CN"/>
    </w:rPr>
  </w:style>
  <w:style w:type="paragraph" w:styleId="5">
    <w:name w:val="Normal Indent"/>
    <w:basedOn w:val="1"/>
    <w:link w:val="38"/>
    <w:qFormat/>
    <w:locked/>
    <w:uiPriority w:val="0"/>
    <w:pPr>
      <w:ind w:firstLine="420"/>
    </w:pPr>
    <w:rPr>
      <w:rFonts w:ascii="Calibri" w:hAnsi="Calibri"/>
    </w:rPr>
  </w:style>
  <w:style w:type="paragraph" w:styleId="6">
    <w:name w:val="annotation text"/>
    <w:basedOn w:val="1"/>
    <w:link w:val="26"/>
    <w:qFormat/>
    <w:uiPriority w:val="99"/>
    <w:pPr>
      <w:jc w:val="left"/>
    </w:pPr>
    <w:rPr>
      <w:rFonts w:ascii="Calibri" w:hAnsi="Calibri"/>
    </w:rPr>
  </w:style>
  <w:style w:type="paragraph" w:styleId="7">
    <w:name w:val="Body Text"/>
    <w:basedOn w:val="1"/>
    <w:link w:val="40"/>
    <w:semiHidden/>
    <w:unhideWhenUsed/>
    <w:qFormat/>
    <w:locked/>
    <w:uiPriority w:val="99"/>
    <w:pPr>
      <w:spacing w:after="120"/>
    </w:pPr>
  </w:style>
  <w:style w:type="paragraph" w:styleId="8">
    <w:name w:val="Body Text Indent"/>
    <w:basedOn w:val="1"/>
    <w:link w:val="27"/>
    <w:qFormat/>
    <w:locked/>
    <w:uiPriority w:val="0"/>
    <w:pPr>
      <w:tabs>
        <w:tab w:val="left" w:pos="900"/>
      </w:tabs>
      <w:adjustRightInd w:val="0"/>
      <w:spacing w:line="360" w:lineRule="auto"/>
      <w:ind w:firstLine="510"/>
    </w:pPr>
    <w:rPr>
      <w:rFonts w:ascii="宋体"/>
      <w:sz w:val="28"/>
    </w:rPr>
  </w:style>
  <w:style w:type="paragraph" w:styleId="9">
    <w:name w:val="Plain Text"/>
    <w:basedOn w:val="1"/>
    <w:next w:val="10"/>
    <w:link w:val="34"/>
    <w:qFormat/>
    <w:uiPriority w:val="99"/>
    <w:rPr>
      <w:rFonts w:ascii="宋体" w:hAnsi="Courier New"/>
    </w:rPr>
  </w:style>
  <w:style w:type="paragraph" w:customStyle="1" w:styleId="10">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11">
    <w:name w:val="Balloon Text"/>
    <w:basedOn w:val="1"/>
    <w:link w:val="29"/>
    <w:semiHidden/>
    <w:qFormat/>
    <w:uiPriority w:val="99"/>
    <w:rPr>
      <w:sz w:val="18"/>
    </w:rPr>
  </w:style>
  <w:style w:type="paragraph" w:styleId="12">
    <w:name w:val="footer"/>
    <w:basedOn w:val="1"/>
    <w:link w:val="30"/>
    <w:qFormat/>
    <w:uiPriority w:val="99"/>
    <w:pPr>
      <w:tabs>
        <w:tab w:val="center" w:pos="4153"/>
        <w:tab w:val="right" w:pos="8306"/>
      </w:tabs>
      <w:snapToGrid w:val="0"/>
      <w:jc w:val="left"/>
    </w:pPr>
    <w:rPr>
      <w:sz w:val="18"/>
    </w:rPr>
  </w:style>
  <w:style w:type="paragraph" w:styleId="13">
    <w:name w:val="header"/>
    <w:basedOn w:val="1"/>
    <w:link w:val="31"/>
    <w:qFormat/>
    <w:uiPriority w:val="99"/>
    <w:pPr>
      <w:pBdr>
        <w:bottom w:val="single" w:color="auto" w:sz="6" w:space="1"/>
      </w:pBdr>
      <w:tabs>
        <w:tab w:val="center" w:pos="4153"/>
        <w:tab w:val="right" w:pos="8306"/>
      </w:tabs>
      <w:snapToGrid w:val="0"/>
      <w:jc w:val="center"/>
    </w:pPr>
    <w:rPr>
      <w:sz w:val="18"/>
    </w:rPr>
  </w:style>
  <w:style w:type="paragraph" w:styleId="14">
    <w:name w:val="toc 1"/>
    <w:basedOn w:val="1"/>
    <w:next w:val="1"/>
    <w:unhideWhenUsed/>
    <w:qFormat/>
    <w:uiPriority w:val="0"/>
  </w:style>
  <w:style w:type="paragraph" w:styleId="15">
    <w:name w:val="toc 2"/>
    <w:basedOn w:val="1"/>
    <w:next w:val="1"/>
    <w:unhideWhenUsed/>
    <w:qFormat/>
    <w:uiPriority w:val="39"/>
    <w:pPr>
      <w:ind w:left="420" w:leftChars="200"/>
    </w:pPr>
    <w:rPr>
      <w:szCs w:val="24"/>
    </w:rPr>
  </w:style>
  <w:style w:type="paragraph" w:styleId="16">
    <w:name w:val="Normal (Web)"/>
    <w:basedOn w:val="1"/>
    <w:qFormat/>
    <w:uiPriority w:val="99"/>
    <w:pPr>
      <w:spacing w:before="100" w:beforeAutospacing="1" w:after="100" w:afterAutospacing="1"/>
      <w:jc w:val="left"/>
    </w:pPr>
    <w:rPr>
      <w:rFonts w:ascii="宋体" w:hAnsi="宋体"/>
      <w:color w:val="000000"/>
      <w:sz w:val="24"/>
      <w:szCs w:val="24"/>
    </w:rPr>
  </w:style>
  <w:style w:type="paragraph" w:styleId="17">
    <w:name w:val="Title"/>
    <w:basedOn w:val="1"/>
    <w:next w:val="1"/>
    <w:qFormat/>
    <w:uiPriority w:val="0"/>
    <w:pPr>
      <w:spacing w:before="240" w:after="60"/>
      <w:jc w:val="center"/>
      <w:outlineLvl w:val="0"/>
    </w:pPr>
    <w:rPr>
      <w:rFonts w:asciiTheme="majorHAnsi" w:hAnsiTheme="majorHAnsi" w:eastAsiaTheme="majorEastAsia" w:cstheme="majorBidi"/>
      <w:b/>
      <w:bCs/>
      <w:sz w:val="32"/>
      <w:szCs w:val="32"/>
    </w:rPr>
  </w:style>
  <w:style w:type="paragraph" w:styleId="18">
    <w:name w:val="annotation subject"/>
    <w:basedOn w:val="6"/>
    <w:next w:val="6"/>
    <w:link w:val="32"/>
    <w:semiHidden/>
    <w:qFormat/>
    <w:uiPriority w:val="99"/>
    <w:rPr>
      <w:rFonts w:ascii="Times New Roman" w:hAnsi="Times New Roman"/>
      <w:b/>
      <w:sz w:val="20"/>
    </w:rPr>
  </w:style>
  <w:style w:type="paragraph" w:styleId="19">
    <w:name w:val="Body Text First Indent 2"/>
    <w:basedOn w:val="8"/>
    <w:next w:val="1"/>
    <w:qFormat/>
    <w:locked/>
    <w:uiPriority w:val="0"/>
    <w:pPr>
      <w:spacing w:after="120"/>
      <w:ind w:left="420" w:leftChars="200" w:firstLine="420" w:firstLineChars="200"/>
    </w:pPr>
    <w:rPr>
      <w:rFonts w:ascii="仿宋_GB2312" w:eastAsia="仿宋_GB2312"/>
      <w:color w:val="FF6600"/>
      <w:sz w:val="21"/>
    </w:rPr>
  </w:style>
  <w:style w:type="table" w:styleId="21">
    <w:name w:val="Table Grid"/>
    <w:basedOn w:val="20"/>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qFormat/>
    <w:uiPriority w:val="99"/>
    <w:rPr>
      <w:rFonts w:cs="Times New Roman"/>
    </w:rPr>
  </w:style>
  <w:style w:type="character" w:styleId="24">
    <w:name w:val="Hyperlink"/>
    <w:qFormat/>
    <w:locked/>
    <w:uiPriority w:val="99"/>
    <w:rPr>
      <w:rFonts w:cs="Times New Roman"/>
      <w:color w:val="0000FF"/>
      <w:u w:val="single"/>
    </w:rPr>
  </w:style>
  <w:style w:type="character" w:styleId="25">
    <w:name w:val="annotation reference"/>
    <w:basedOn w:val="22"/>
    <w:semiHidden/>
    <w:qFormat/>
    <w:uiPriority w:val="99"/>
    <w:rPr>
      <w:rFonts w:cs="Times New Roman"/>
      <w:sz w:val="21"/>
    </w:rPr>
  </w:style>
  <w:style w:type="character" w:customStyle="1" w:styleId="26">
    <w:name w:val="批注文字 字符"/>
    <w:link w:val="6"/>
    <w:qFormat/>
    <w:locked/>
    <w:uiPriority w:val="99"/>
    <w:rPr>
      <w:rFonts w:eastAsia="宋体" w:cs="Times New Roman"/>
      <w:kern w:val="2"/>
      <w:sz w:val="21"/>
      <w:lang w:val="en-US" w:eastAsia="zh-CN"/>
    </w:rPr>
  </w:style>
  <w:style w:type="character" w:customStyle="1" w:styleId="27">
    <w:name w:val="正文文本缩进 字符"/>
    <w:link w:val="8"/>
    <w:semiHidden/>
    <w:qFormat/>
    <w:locked/>
    <w:uiPriority w:val="99"/>
    <w:rPr>
      <w:rFonts w:ascii="Times New Roman" w:hAnsi="Times New Roman" w:cs="Times New Roman"/>
      <w:sz w:val="20"/>
      <w:szCs w:val="20"/>
    </w:rPr>
  </w:style>
  <w:style w:type="character" w:customStyle="1" w:styleId="28">
    <w:name w:val="Plain Text Char"/>
    <w:qFormat/>
    <w:locked/>
    <w:uiPriority w:val="99"/>
    <w:rPr>
      <w:rFonts w:ascii="宋体" w:hAnsi="Courier New" w:eastAsia="宋体" w:cs="Times New Roman"/>
      <w:sz w:val="21"/>
    </w:rPr>
  </w:style>
  <w:style w:type="character" w:customStyle="1" w:styleId="29">
    <w:name w:val="批注框文本 字符"/>
    <w:link w:val="11"/>
    <w:semiHidden/>
    <w:qFormat/>
    <w:locked/>
    <w:uiPriority w:val="99"/>
    <w:rPr>
      <w:rFonts w:ascii="Times New Roman" w:hAnsi="Times New Roman" w:cs="Times New Roman"/>
      <w:kern w:val="2"/>
      <w:sz w:val="18"/>
    </w:rPr>
  </w:style>
  <w:style w:type="character" w:customStyle="1" w:styleId="30">
    <w:name w:val="页脚 字符"/>
    <w:link w:val="12"/>
    <w:qFormat/>
    <w:locked/>
    <w:uiPriority w:val="99"/>
    <w:rPr>
      <w:rFonts w:ascii="Times New Roman" w:hAnsi="Times New Roman" w:eastAsia="宋体" w:cs="Times New Roman"/>
      <w:sz w:val="18"/>
    </w:rPr>
  </w:style>
  <w:style w:type="character" w:customStyle="1" w:styleId="31">
    <w:name w:val="页眉 字符"/>
    <w:link w:val="13"/>
    <w:qFormat/>
    <w:locked/>
    <w:uiPriority w:val="99"/>
    <w:rPr>
      <w:rFonts w:ascii="Times New Roman" w:hAnsi="Times New Roman" w:eastAsia="宋体" w:cs="Times New Roman"/>
      <w:sz w:val="18"/>
    </w:rPr>
  </w:style>
  <w:style w:type="character" w:customStyle="1" w:styleId="32">
    <w:name w:val="批注主题 字符"/>
    <w:link w:val="18"/>
    <w:semiHidden/>
    <w:qFormat/>
    <w:locked/>
    <w:uiPriority w:val="99"/>
    <w:rPr>
      <w:rFonts w:ascii="Times New Roman" w:hAnsi="Times New Roman" w:eastAsia="宋体" w:cs="Times New Roman"/>
      <w:b/>
      <w:kern w:val="2"/>
      <w:sz w:val="20"/>
      <w:lang w:val="en-US" w:eastAsia="zh-CN"/>
    </w:rPr>
  </w:style>
  <w:style w:type="character" w:customStyle="1" w:styleId="33">
    <w:name w:val="Plain Text Char1"/>
    <w:semiHidden/>
    <w:qFormat/>
    <w:locked/>
    <w:uiPriority w:val="99"/>
    <w:rPr>
      <w:rFonts w:ascii="宋体" w:hAnsi="Courier New"/>
      <w:sz w:val="21"/>
    </w:rPr>
  </w:style>
  <w:style w:type="character" w:customStyle="1" w:styleId="34">
    <w:name w:val="纯文本 字符"/>
    <w:link w:val="9"/>
    <w:qFormat/>
    <w:locked/>
    <w:uiPriority w:val="0"/>
    <w:rPr>
      <w:rFonts w:ascii="宋体" w:hAnsi="Courier New" w:eastAsia="宋体"/>
      <w:sz w:val="21"/>
    </w:rPr>
  </w:style>
  <w:style w:type="paragraph" w:styleId="35">
    <w:name w:val="List Paragraph"/>
    <w:basedOn w:val="1"/>
    <w:qFormat/>
    <w:uiPriority w:val="99"/>
    <w:pPr>
      <w:ind w:firstLine="420" w:firstLineChars="200"/>
    </w:pPr>
  </w:style>
  <w:style w:type="character" w:customStyle="1" w:styleId="36">
    <w:name w:val="纯文本 Char"/>
    <w:qFormat/>
    <w:uiPriority w:val="99"/>
    <w:rPr>
      <w:rFonts w:ascii="宋体" w:hAnsi="Courier New" w:eastAsia="宋体"/>
      <w:kern w:val="2"/>
      <w:sz w:val="21"/>
      <w:lang w:val="en-US" w:eastAsia="zh-CN"/>
    </w:rPr>
  </w:style>
  <w:style w:type="character" w:customStyle="1" w:styleId="37">
    <w:name w:val="Char Char3"/>
    <w:qFormat/>
    <w:uiPriority w:val="99"/>
    <w:rPr>
      <w:rFonts w:ascii="宋体" w:hAnsi="Courier New" w:eastAsia="宋体"/>
      <w:kern w:val="2"/>
      <w:sz w:val="21"/>
      <w:lang w:val="en-US" w:eastAsia="zh-CN"/>
    </w:rPr>
  </w:style>
  <w:style w:type="character" w:customStyle="1" w:styleId="38">
    <w:name w:val="正文缩进 字符"/>
    <w:link w:val="5"/>
    <w:qFormat/>
    <w:locked/>
    <w:uiPriority w:val="0"/>
    <w:rPr>
      <w:kern w:val="2"/>
      <w:sz w:val="21"/>
    </w:rPr>
  </w:style>
  <w:style w:type="paragraph" w:customStyle="1" w:styleId="39">
    <w:name w:val="文档正文"/>
    <w:basedOn w:val="1"/>
    <w:qFormat/>
    <w:uiPriority w:val="0"/>
    <w:pPr>
      <w:adjustRightInd w:val="0"/>
      <w:spacing w:line="312" w:lineRule="atLeast"/>
      <w:ind w:firstLine="567"/>
      <w:textAlignment w:val="baseline"/>
    </w:pPr>
    <w:rPr>
      <w:rFonts w:ascii="长城仿宋" w:eastAsia="长城仿宋"/>
      <w:sz w:val="28"/>
      <w:szCs w:val="24"/>
    </w:rPr>
  </w:style>
  <w:style w:type="character" w:customStyle="1" w:styleId="40">
    <w:name w:val="正文文本 字符"/>
    <w:basedOn w:val="22"/>
    <w:link w:val="7"/>
    <w:semiHidden/>
    <w:qFormat/>
    <w:uiPriority w:val="99"/>
    <w:rPr>
      <w:kern w:val="2"/>
      <w:sz w:val="21"/>
    </w:rPr>
  </w:style>
  <w:style w:type="character" w:styleId="41">
    <w:name w:val="Placeholder Text"/>
    <w:basedOn w:val="22"/>
    <w:semiHidden/>
    <w:qFormat/>
    <w:uiPriority w:val="99"/>
    <w:rPr>
      <w:color w:val="808080"/>
    </w:rPr>
  </w:style>
  <w:style w:type="character" w:customStyle="1" w:styleId="42">
    <w:name w:val="font11"/>
    <w:basedOn w:val="22"/>
    <w:qFormat/>
    <w:uiPriority w:val="0"/>
    <w:rPr>
      <w:rFonts w:hint="eastAsia" w:ascii="宋体" w:hAnsi="宋体" w:eastAsia="宋体" w:cs="宋体"/>
      <w:color w:val="000000"/>
      <w:sz w:val="22"/>
      <w:szCs w:val="22"/>
      <w:u w:val="none"/>
    </w:rPr>
  </w:style>
  <w:style w:type="character" w:customStyle="1" w:styleId="43">
    <w:name w:val="font21"/>
    <w:basedOn w:val="22"/>
    <w:qFormat/>
    <w:uiPriority w:val="0"/>
    <w:rPr>
      <w:rFonts w:hint="eastAsia" w:ascii="宋体" w:hAnsi="宋体" w:eastAsia="宋体" w:cs="宋体"/>
      <w:color w:val="000000"/>
      <w:sz w:val="22"/>
      <w:szCs w:val="22"/>
      <w:u w:val="none"/>
    </w:rPr>
  </w:style>
  <w:style w:type="character" w:customStyle="1" w:styleId="44">
    <w:name w:val="font31"/>
    <w:basedOn w:val="22"/>
    <w:qFormat/>
    <w:uiPriority w:val="0"/>
    <w:rPr>
      <w:rFonts w:ascii="Calibri" w:hAnsi="Calibri" w:cs="Calibri"/>
      <w:color w:val="000000"/>
      <w:sz w:val="22"/>
      <w:szCs w:val="22"/>
      <w:u w:val="none"/>
    </w:rPr>
  </w:style>
  <w:style w:type="character" w:customStyle="1" w:styleId="45">
    <w:name w:val="标题 2 字符"/>
    <w:link w:val="4"/>
    <w:qFormat/>
    <w:uiPriority w:val="0"/>
    <w:rPr>
      <w:rFonts w:ascii="Arial" w:hAnsi="Arial" w:eastAsia="黑体"/>
      <w:b/>
      <w:sz w:val="32"/>
    </w:rPr>
  </w:style>
  <w:style w:type="paragraph" w:customStyle="1" w:styleId="46">
    <w:name w:val="WPSOffice手动目录 1"/>
    <w:qFormat/>
    <w:uiPriority w:val="0"/>
    <w:rPr>
      <w:rFonts w:ascii="Times New Roman" w:hAnsi="Times New Roman" w:eastAsia="宋体" w:cs="Times New Roman"/>
      <w:lang w:val="en-US" w:eastAsia="zh-CN" w:bidi="ar-SA"/>
    </w:rPr>
  </w:style>
  <w:style w:type="paragraph" w:customStyle="1" w:styleId="47">
    <w:name w:val="修订1"/>
    <w:hidden/>
    <w:unhideWhenUsed/>
    <w:qFormat/>
    <w:uiPriority w:val="99"/>
    <w:rPr>
      <w:rFonts w:ascii="Times New Roman" w:hAnsi="Times New Roman" w:eastAsia="宋体" w:cs="Times New Roman"/>
      <w:sz w:val="21"/>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DA46AB-1009-489D-86F7-EFF5E8E6DC2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64</Pages>
  <Words>6160</Words>
  <Characters>35117</Characters>
  <Lines>292</Lines>
  <Paragraphs>82</Paragraphs>
  <TotalTime>38</TotalTime>
  <ScaleCrop>false</ScaleCrop>
  <LinksUpToDate>false</LinksUpToDate>
  <CharactersWithSpaces>41195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2023-12-13T02:41:00Z</dcterms:created>
  <dc:creator>fan</dc:creator>
  <cp:lastModifiedBy>wei</cp:lastModifiedBy>
  <cp:lastPrinted>2018-10-30T07:52:00Z</cp:lastPrinted>
  <dcterms:modified xsi:type="dcterms:W3CDTF">2024-01-26T03:53:28Z</dcterms:modified>
  <dc:title>淮阴工学院</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269496F947434DF79881A65503F62E8E_13</vt:lpwstr>
  </property>
</Properties>
</file>