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color w:val="000000"/>
          <w:kern w:val="0"/>
          <w:sz w:val="44"/>
          <w:szCs w:val="44"/>
        </w:rPr>
        <w:t>淮阴工学院</w:t>
      </w:r>
    </w:p>
    <w:p>
      <w:pPr>
        <w:spacing w:line="480" w:lineRule="auto"/>
        <w:jc w:val="center"/>
        <w:rPr>
          <w:rFonts w:ascii="黑体" w:hAnsi="黑体" w:eastAsia="黑体"/>
          <w:color w:val="000000"/>
          <w:kern w:val="0"/>
          <w:sz w:val="36"/>
          <w:szCs w:val="36"/>
        </w:rPr>
      </w:pPr>
      <w:r>
        <w:rPr>
          <w:rFonts w:hint="eastAsia" w:ascii="黑体" w:hAnsi="黑体" w:eastAsia="黑体"/>
          <w:color w:val="000000"/>
          <w:kern w:val="0"/>
          <w:sz w:val="36"/>
          <w:szCs w:val="36"/>
        </w:rPr>
        <w:t>生科学院振荡培养箱等设备采购</w:t>
      </w:r>
    </w:p>
    <w:p>
      <w:pPr>
        <w:ind w:left="-139" w:leftChars="-90" w:hanging="50" w:hangingChars="24"/>
        <w:jc w:val="center"/>
        <w:rPr>
          <w:rFonts w:ascii="黑体" w:hAnsi="黑体" w:eastAsia="黑体"/>
          <w:b/>
          <w:snapToGrid w:val="0"/>
          <w:color w:val="000000"/>
          <w:szCs w:val="21"/>
        </w:rPr>
      </w:pP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5"/>
        <w:adjustRightInd w:val="0"/>
        <w:snapToGrid w:val="0"/>
        <w:spacing w:line="300" w:lineRule="auto"/>
        <w:jc w:val="center"/>
        <w:rPr>
          <w:rFonts w:ascii="黑体" w:hAnsi="黑体" w:eastAsia="黑体"/>
          <w:color w:val="000000"/>
        </w:rPr>
      </w:pPr>
    </w:p>
    <w:p>
      <w:pPr>
        <w:adjustRightInd w:val="0"/>
        <w:snapToGrid w:val="0"/>
        <w:spacing w:line="300" w:lineRule="auto"/>
        <w:jc w:val="center"/>
        <w:rPr>
          <w:rFonts w:hint="default" w:ascii="宋体" w:eastAsia="宋体"/>
          <w:snapToGrid w:val="0"/>
          <w:color w:val="auto"/>
          <w:sz w:val="24"/>
          <w:szCs w:val="24"/>
          <w:lang w:val="en-US" w:eastAsia="zh-CN"/>
        </w:rPr>
      </w:pPr>
      <w:r>
        <w:rPr>
          <w:rFonts w:hint="eastAsia" w:ascii="宋体" w:hAnsi="宋体"/>
          <w:snapToGrid w:val="0"/>
          <w:color w:val="auto"/>
          <w:sz w:val="24"/>
          <w:szCs w:val="24"/>
        </w:rPr>
        <w:t>项目编号：</w:t>
      </w:r>
      <w:r>
        <w:rPr>
          <w:rFonts w:hint="eastAsia" w:ascii="宋体" w:hAnsi="宋体"/>
          <w:snapToGrid w:val="0"/>
          <w:color w:val="auto"/>
          <w:sz w:val="24"/>
          <w:szCs w:val="24"/>
          <w:lang w:val="en-US" w:eastAsia="zh-CN"/>
        </w:rPr>
        <w:t>HGZB20190028</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w:t>
      </w:r>
      <w:r>
        <w:rPr>
          <w:rFonts w:ascii="黑体" w:hAnsi="黑体" w:eastAsia="黑体"/>
          <w:b/>
          <w:color w:val="000000"/>
          <w:sz w:val="30"/>
          <w:szCs w:val="30"/>
        </w:rPr>
        <w:t xml:space="preserve">  </w:t>
      </w:r>
      <w:r>
        <w:rPr>
          <w:rFonts w:hint="eastAsia" w:ascii="黑体" w:hAnsi="黑体" w:eastAsia="黑体"/>
          <w:b/>
          <w:color w:val="000000"/>
          <w:sz w:val="30"/>
          <w:szCs w:val="30"/>
        </w:rPr>
        <w:t>阴</w:t>
      </w:r>
      <w:r>
        <w:rPr>
          <w:rFonts w:ascii="黑体" w:hAnsi="黑体" w:eastAsia="黑体"/>
          <w:b/>
          <w:color w:val="000000"/>
          <w:sz w:val="30"/>
          <w:szCs w:val="30"/>
        </w:rPr>
        <w:t xml:space="preserve">  </w:t>
      </w:r>
      <w:r>
        <w:rPr>
          <w:rFonts w:hint="eastAsia" w:ascii="黑体" w:hAnsi="黑体" w:eastAsia="黑体"/>
          <w:b/>
          <w:color w:val="000000"/>
          <w:sz w:val="30"/>
          <w:szCs w:val="30"/>
        </w:rPr>
        <w:t>工</w:t>
      </w:r>
      <w:r>
        <w:rPr>
          <w:rFonts w:ascii="黑体" w:hAnsi="黑体" w:eastAsia="黑体"/>
          <w:b/>
          <w:color w:val="000000"/>
          <w:sz w:val="30"/>
          <w:szCs w:val="30"/>
        </w:rPr>
        <w:t xml:space="preserve">  </w:t>
      </w:r>
      <w:r>
        <w:rPr>
          <w:rFonts w:hint="eastAsia" w:ascii="黑体" w:hAnsi="黑体" w:eastAsia="黑体"/>
          <w:b/>
          <w:color w:val="000000"/>
          <w:sz w:val="30"/>
          <w:szCs w:val="30"/>
        </w:rPr>
        <w:t>学</w:t>
      </w:r>
      <w:r>
        <w:rPr>
          <w:rFonts w:ascii="黑体" w:hAnsi="黑体" w:eastAsia="黑体"/>
          <w:b/>
          <w:color w:val="000000"/>
          <w:sz w:val="30"/>
          <w:szCs w:val="30"/>
        </w:rPr>
        <w:t xml:space="preserve">  </w:t>
      </w:r>
      <w:r>
        <w:rPr>
          <w:rFonts w:hint="eastAsia" w:ascii="黑体" w:hAnsi="黑体" w:eastAsia="黑体"/>
          <w:b/>
          <w:color w:val="000000"/>
          <w:sz w:val="30"/>
          <w:szCs w:val="30"/>
        </w:rPr>
        <w:t>院</w:t>
      </w:r>
    </w:p>
    <w:p>
      <w:pPr>
        <w:ind w:right="2436" w:rightChars="1160"/>
        <w:jc w:val="center"/>
        <w:rPr>
          <w:rFonts w:ascii="黑体" w:hAnsi="黑体" w:eastAsia="黑体"/>
          <w:b/>
          <w:color w:val="auto"/>
          <w:sz w:val="30"/>
          <w:szCs w:val="30"/>
        </w:rPr>
      </w:pPr>
      <w:r>
        <w:rPr>
          <w:rFonts w:ascii="黑体" w:hAnsi="黑体" w:eastAsia="黑体"/>
          <w:b/>
          <w:color w:val="000000"/>
          <w:sz w:val="30"/>
          <w:szCs w:val="30"/>
        </w:rPr>
        <w:t xml:space="preserve">               </w:t>
      </w:r>
      <w:r>
        <w:rPr>
          <w:rFonts w:ascii="黑体" w:hAnsi="黑体" w:eastAsia="黑体"/>
          <w:b/>
          <w:color w:val="FF0000"/>
          <w:sz w:val="30"/>
          <w:szCs w:val="30"/>
        </w:rPr>
        <w:t xml:space="preserve"> </w:t>
      </w:r>
      <w:r>
        <w:rPr>
          <w:rFonts w:ascii="黑体" w:hAnsi="黑体" w:eastAsia="黑体"/>
          <w:b/>
          <w:color w:val="auto"/>
          <w:sz w:val="30"/>
          <w:szCs w:val="30"/>
        </w:rPr>
        <w:t>2019</w:t>
      </w:r>
      <w:r>
        <w:rPr>
          <w:rFonts w:hint="eastAsia" w:ascii="黑体" w:hAnsi="黑体" w:eastAsia="黑体"/>
          <w:b/>
          <w:color w:val="auto"/>
          <w:sz w:val="30"/>
          <w:szCs w:val="30"/>
        </w:rPr>
        <w:t>年5月</w:t>
      </w:r>
      <w:r>
        <w:rPr>
          <w:rFonts w:ascii="黑体" w:hAnsi="黑体" w:eastAsia="黑体"/>
          <w:b/>
          <w:color w:val="auto"/>
          <w:sz w:val="30"/>
          <w:szCs w:val="30"/>
        </w:rPr>
        <w:t>2</w:t>
      </w:r>
      <w:r>
        <w:rPr>
          <w:rFonts w:hint="eastAsia" w:ascii="黑体" w:hAnsi="黑体" w:eastAsia="黑体"/>
          <w:b/>
          <w:color w:val="auto"/>
          <w:sz w:val="30"/>
          <w:szCs w:val="30"/>
          <w:lang w:val="en-US" w:eastAsia="zh-CN"/>
        </w:rPr>
        <w:t>9</w:t>
      </w:r>
      <w:r>
        <w:rPr>
          <w:rFonts w:hint="eastAsia" w:ascii="黑体" w:hAnsi="黑体" w:eastAsia="黑体"/>
          <w:b/>
          <w:color w:val="auto"/>
          <w:sz w:val="30"/>
          <w:szCs w:val="30"/>
        </w:rPr>
        <w:t>日</w:t>
      </w:r>
    </w:p>
    <w:p>
      <w:pPr>
        <w:jc w:val="center"/>
        <w:rPr>
          <w:b/>
          <w:color w:val="000000"/>
          <w:sz w:val="36"/>
          <w:szCs w:val="36"/>
        </w:rPr>
        <w:sectPr>
          <w:footerReference r:id="rId3" w:type="default"/>
          <w:footerReference r:id="rId4" w:type="even"/>
          <w:pgSz w:w="11907" w:h="16840"/>
          <w:pgMar w:top="1418" w:right="1758" w:bottom="1418" w:left="1758" w:header="567" w:footer="567" w:gutter="0"/>
          <w:pgNumType w:start="18"/>
          <w:cols w:space="720" w:num="1"/>
          <w:docGrid w:type="linesAndChars" w:linePitch="326" w:charSpace="0"/>
        </w:sectPr>
      </w:pPr>
    </w:p>
    <w:p>
      <w:pPr>
        <w:jc w:val="cente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1</w:t>
      </w:r>
    </w:p>
    <w:p>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…………………………………………….13</w:t>
      </w:r>
    </w:p>
    <w:p>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17</w:t>
      </w:r>
    </w:p>
    <w:p>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18</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r>
        <w:rPr>
          <w:bCs/>
          <w:color w:val="000000"/>
          <w:szCs w:val="21"/>
        </w:rPr>
        <w:t xml:space="preserve">       </w:t>
      </w: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sectPr>
          <w:footerReference r:id="rId5" w:type="default"/>
          <w:pgSz w:w="11907" w:h="16840"/>
          <w:pgMar w:top="1418" w:right="1758" w:bottom="1418" w:left="1758" w:header="567" w:footer="567" w:gutter="0"/>
          <w:pgNumType w:start="18"/>
          <w:cols w:space="720" w:num="1"/>
          <w:docGrid w:type="linesAndChars" w:linePitch="326" w:charSpace="0"/>
        </w:sect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color w:val="000000"/>
          <w:sz w:val="24"/>
          <w:szCs w:val="24"/>
        </w:rPr>
      </w:pPr>
      <w:r>
        <w:rPr>
          <w:rFonts w:hint="eastAsia"/>
          <w:color w:val="000000"/>
          <w:sz w:val="24"/>
          <w:szCs w:val="24"/>
        </w:rPr>
        <w:t>项目名称：生科学院生物工程实验室振荡培养箱等设备采购。</w:t>
      </w:r>
    </w:p>
    <w:p>
      <w:pPr>
        <w:spacing w:line="440" w:lineRule="exact"/>
        <w:ind w:firstLine="480" w:firstLineChars="200"/>
        <w:rPr>
          <w:color w:val="000000"/>
          <w:sz w:val="24"/>
          <w:szCs w:val="24"/>
        </w:rPr>
      </w:pPr>
      <w:r>
        <w:rPr>
          <w:rFonts w:hint="eastAsia"/>
          <w:color w:val="000000"/>
          <w:sz w:val="24"/>
          <w:szCs w:val="24"/>
        </w:rPr>
        <w:t>项</w:t>
      </w:r>
      <w:r>
        <w:rPr>
          <w:rFonts w:hint="eastAsia"/>
          <w:color w:val="auto"/>
          <w:sz w:val="24"/>
          <w:szCs w:val="24"/>
        </w:rPr>
        <w:t>目最高限价：标段一</w:t>
      </w:r>
      <w:r>
        <w:rPr>
          <w:color w:val="auto"/>
          <w:sz w:val="24"/>
          <w:szCs w:val="24"/>
        </w:rPr>
        <w:t>54.</w:t>
      </w:r>
      <w:r>
        <w:rPr>
          <w:rFonts w:hint="eastAsia"/>
          <w:color w:val="auto"/>
          <w:sz w:val="24"/>
          <w:szCs w:val="24"/>
        </w:rPr>
        <w:t>3万，标段二</w:t>
      </w:r>
      <w:r>
        <w:rPr>
          <w:color w:val="auto"/>
          <w:sz w:val="24"/>
          <w:szCs w:val="24"/>
        </w:rPr>
        <w:t>8.5</w:t>
      </w:r>
      <w:r>
        <w:rPr>
          <w:rFonts w:hint="eastAsia"/>
          <w:color w:val="auto"/>
          <w:sz w:val="24"/>
          <w:szCs w:val="24"/>
        </w:rPr>
        <w:t>万。</w:t>
      </w:r>
    </w:p>
    <w:p>
      <w:pPr>
        <w:widowControl/>
        <w:spacing w:line="440" w:lineRule="exact"/>
        <w:ind w:firstLine="480" w:firstLineChars="200"/>
        <w:rPr>
          <w:sz w:val="24"/>
          <w:szCs w:val="24"/>
        </w:rPr>
      </w:pPr>
      <w:r>
        <w:rPr>
          <w:rFonts w:hint="eastAsia"/>
          <w:sz w:val="24"/>
          <w:szCs w:val="24"/>
        </w:rPr>
        <w:t>项目简要说明：本次采购生物工程实验室发酵中试生产线配套的振荡培养箱、氮气发生器。其中，振荡培养箱用于培养中试发酵系统需要的摇瓶种子培养液，也可用于中试前的研究、验证工作；氮气发生器（配合氮吹浓缩仪使用）用于发酵液（或其它液体样品）的浓缩处理。</w:t>
      </w:r>
    </w:p>
    <w:p>
      <w:pPr>
        <w:widowControl/>
        <w:spacing w:line="440" w:lineRule="exact"/>
        <w:ind w:firstLine="480" w:firstLineChars="200"/>
        <w:rPr>
          <w:color w:val="000000"/>
          <w:sz w:val="24"/>
          <w:szCs w:val="24"/>
        </w:rPr>
      </w:pPr>
      <w:r>
        <w:rPr>
          <w:rFonts w:hint="eastAsia"/>
          <w:color w:val="000000"/>
          <w:sz w:val="24"/>
          <w:szCs w:val="24"/>
        </w:rPr>
        <w:t>具体要求见第二章。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具有本次采购货物（服务）的经营范围；</w:t>
      </w:r>
    </w:p>
    <w:p>
      <w:pPr>
        <w:spacing w:line="440" w:lineRule="exact"/>
        <w:ind w:firstLine="480" w:firstLineChars="200"/>
        <w:rPr>
          <w:bCs/>
          <w:color w:val="000000"/>
          <w:spacing w:val="15"/>
          <w:kern w:val="0"/>
          <w:sz w:val="24"/>
          <w:szCs w:val="24"/>
        </w:rPr>
      </w:pPr>
      <w:r>
        <w:rPr>
          <w:color w:val="000000"/>
          <w:kern w:val="0"/>
          <w:sz w:val="24"/>
          <w:szCs w:val="24"/>
        </w:rPr>
        <w:t>3</w:t>
      </w:r>
      <w:r>
        <w:rPr>
          <w:rFonts w:hint="eastAsia"/>
          <w:color w:val="000000"/>
          <w:sz w:val="24"/>
          <w:szCs w:val="24"/>
        </w:rPr>
        <w:t>参加本次投标的投标人若非生产企业，须具有产品经销商</w:t>
      </w:r>
      <w:r>
        <w:rPr>
          <w:rFonts w:hint="eastAsia"/>
          <w:bCs/>
          <w:color w:val="000000"/>
          <w:spacing w:val="15"/>
          <w:kern w:val="0"/>
          <w:sz w:val="24"/>
          <w:szCs w:val="24"/>
        </w:rPr>
        <w:t>或代理商资格（生产商对项目授权视同满足要求）；</w:t>
      </w:r>
    </w:p>
    <w:p>
      <w:pPr>
        <w:widowControl/>
        <w:spacing w:line="440" w:lineRule="exact"/>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具备履行合同所必需的设备和专业技术能力；</w:t>
      </w:r>
    </w:p>
    <w:p>
      <w:pPr>
        <w:widowControl/>
        <w:spacing w:line="440" w:lineRule="exact"/>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本次招标不接受联合体供应商参加投标。</w:t>
      </w:r>
    </w:p>
    <w:p>
      <w:pPr>
        <w:widowControl/>
        <w:spacing w:line="440" w:lineRule="exact"/>
        <w:ind w:firstLine="540" w:firstLineChars="200"/>
        <w:rPr>
          <w:spacing w:val="15"/>
          <w:kern w:val="0"/>
          <w:sz w:val="24"/>
          <w:szCs w:val="24"/>
        </w:rPr>
      </w:pPr>
      <w:r>
        <w:rPr>
          <w:spacing w:val="15"/>
          <w:kern w:val="0"/>
          <w:sz w:val="24"/>
          <w:szCs w:val="24"/>
        </w:rPr>
        <w:t>7</w:t>
      </w:r>
      <w:r>
        <w:rPr>
          <w:rFonts w:hint="eastAsia"/>
          <w:spacing w:val="15"/>
          <w:kern w:val="0"/>
          <w:sz w:val="24"/>
          <w:szCs w:val="24"/>
        </w:rPr>
        <w:t>拒绝下述条件的供应商参加本次采购活动</w:t>
      </w:r>
      <w:r>
        <w:rPr>
          <w:spacing w:val="15"/>
          <w:kern w:val="0"/>
          <w:sz w:val="24"/>
          <w:szCs w:val="24"/>
        </w:rPr>
        <w:t>:</w:t>
      </w:r>
    </w:p>
    <w:p>
      <w:pPr>
        <w:widowControl/>
        <w:spacing w:line="440" w:lineRule="exact"/>
        <w:ind w:firstLine="540" w:firstLineChars="200"/>
        <w:rPr>
          <w:spacing w:val="15"/>
          <w:kern w:val="0"/>
          <w:sz w:val="24"/>
          <w:szCs w:val="24"/>
        </w:rPr>
      </w:pPr>
      <w:r>
        <w:rPr>
          <w:spacing w:val="15"/>
          <w:kern w:val="0"/>
          <w:sz w:val="24"/>
          <w:szCs w:val="24"/>
        </w:rPr>
        <w:t>7.1</w:t>
      </w:r>
      <w:r>
        <w:rPr>
          <w:rFonts w:hint="eastAsia"/>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spacing w:val="15"/>
          <w:kern w:val="0"/>
          <w:sz w:val="24"/>
          <w:szCs w:val="24"/>
        </w:rPr>
        <w:t>7.2</w:t>
      </w:r>
      <w:r>
        <w:rPr>
          <w:rFonts w:hint="eastAsia"/>
          <w:spacing w:val="15"/>
          <w:kern w:val="0"/>
          <w:sz w:val="24"/>
          <w:szCs w:val="24"/>
        </w:rPr>
        <w:t>凡为采购项目提供整体设计、规范编</w:t>
      </w:r>
      <w:r>
        <w:rPr>
          <w:rFonts w:hint="eastAsia"/>
          <w:color w:val="000000"/>
          <w:spacing w:val="15"/>
          <w:kern w:val="0"/>
          <w:sz w:val="24"/>
          <w:szCs w:val="24"/>
        </w:rPr>
        <w:t>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w:t>
      </w:r>
      <w:r>
        <w:rPr>
          <w:rFonts w:ascii="宋体" w:hAnsi="宋体" w:cs="仿宋"/>
          <w:color w:val="000000"/>
          <w:szCs w:val="21"/>
        </w:rPr>
        <w:t>http://zbb.hyit.edu.cn/</w:t>
      </w:r>
      <w:r>
        <w:rPr>
          <w:rFonts w:hint="eastAsia" w:ascii="宋体" w:hAnsi="宋体" w:cs="仿宋"/>
          <w:color w:val="000000"/>
          <w:szCs w:val="21"/>
        </w:rPr>
        <w:t>或</w:t>
      </w:r>
      <w:r>
        <w:rPr>
          <w:color w:val="000000"/>
          <w:szCs w:val="21"/>
        </w:rPr>
        <w:t xml:space="preserve"> </w:t>
      </w:r>
      <w:r>
        <w:rPr>
          <w:rFonts w:ascii="宋体" w:hAnsi="宋体" w:cs="仿宋"/>
          <w:color w:val="000000"/>
          <w:szCs w:val="21"/>
        </w:rPr>
        <w:t>http://www.hyit.edu.cn/list.asp?classid=99</w:t>
      </w:r>
      <w:r>
        <w:rPr>
          <w:rFonts w:hint="eastAsia" w:ascii="宋体" w:hAnsi="宋体" w:cs="仿宋"/>
          <w:color w:val="000000"/>
          <w:szCs w:val="21"/>
        </w:rPr>
        <w:t>），</w:t>
      </w:r>
      <w:r>
        <w:rPr>
          <w:rFonts w:hint="eastAsia" w:ascii="宋体" w:hAnsi="宋体" w:cs="仿宋"/>
          <w:color w:val="000000"/>
          <w:sz w:val="24"/>
          <w:szCs w:val="24"/>
        </w:rPr>
        <w:t>投标人</w:t>
      </w:r>
      <w:r>
        <w:rPr>
          <w:rFonts w:hint="eastAsia" w:ascii="宋体" w:hAnsi="宋体" w:cs="仿宋"/>
          <w:color w:val="auto"/>
          <w:sz w:val="24"/>
          <w:szCs w:val="24"/>
        </w:rPr>
        <w:t>无需提前现场报名，可直接在网站下载招标文件电子文档。招标文件资料费为标一</w:t>
      </w:r>
      <w:r>
        <w:rPr>
          <w:rFonts w:hint="eastAsia" w:ascii="宋体" w:hAnsi="宋体" w:cs="仿宋"/>
          <w:color w:val="auto"/>
          <w:sz w:val="24"/>
          <w:szCs w:val="24"/>
          <w:lang w:val="en-US" w:eastAsia="zh-CN"/>
        </w:rPr>
        <w:t>2</w:t>
      </w:r>
      <w:r>
        <w:rPr>
          <w:rFonts w:hint="eastAsia" w:ascii="宋体" w:hAnsi="宋体" w:cs="仿宋"/>
          <w:color w:val="auto"/>
          <w:sz w:val="24"/>
          <w:szCs w:val="24"/>
        </w:rPr>
        <w:t>00元，标段二100元，投标人在</w:t>
      </w:r>
      <w:r>
        <w:rPr>
          <w:rFonts w:hint="eastAsia" w:ascii="宋体" w:hAnsi="宋体" w:cs="仿宋"/>
          <w:color w:val="000000"/>
          <w:sz w:val="24"/>
          <w:szCs w:val="24"/>
        </w:rPr>
        <w:t>投标前采用汇款方式（账号同投标保证金账号）或到淮阴工学院财务处刷卡方式交纳该费用（淮安市枚乘东路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spacing w:line="440" w:lineRule="exact"/>
        <w:ind w:firstLine="480" w:firstLineChars="200"/>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rFonts w:ascii="宋体" w:cs="仿宋"/>
          <w:color w:val="000000"/>
          <w:sz w:val="24"/>
          <w:szCs w:val="24"/>
        </w:rPr>
      </w:pPr>
      <w:r>
        <w:rPr>
          <w:rFonts w:hint="eastAsia"/>
          <w:color w:val="auto"/>
          <w:spacing w:val="15"/>
          <w:kern w:val="0"/>
          <w:sz w:val="24"/>
          <w:szCs w:val="24"/>
        </w:rPr>
        <w:t>本项目投标保证金金额标段一为</w:t>
      </w:r>
      <w:r>
        <w:rPr>
          <w:color w:val="auto"/>
          <w:spacing w:val="15"/>
          <w:kern w:val="0"/>
          <w:sz w:val="24"/>
          <w:szCs w:val="24"/>
        </w:rPr>
        <w:t>7</w:t>
      </w:r>
      <w:r>
        <w:rPr>
          <w:rFonts w:hint="eastAsia"/>
          <w:color w:val="auto"/>
          <w:spacing w:val="15"/>
          <w:kern w:val="0"/>
          <w:sz w:val="24"/>
          <w:szCs w:val="24"/>
        </w:rPr>
        <w:t>000元、标段二为</w:t>
      </w:r>
      <w:r>
        <w:rPr>
          <w:color w:val="auto"/>
          <w:spacing w:val="15"/>
          <w:kern w:val="0"/>
          <w:sz w:val="24"/>
          <w:szCs w:val="24"/>
        </w:rPr>
        <w:t>1</w:t>
      </w:r>
      <w:r>
        <w:rPr>
          <w:rFonts w:hint="eastAsia"/>
          <w:color w:val="auto"/>
          <w:spacing w:val="15"/>
          <w:kern w:val="0"/>
          <w:sz w:val="24"/>
          <w:szCs w:val="24"/>
        </w:rPr>
        <w:t>000元。投</w:t>
      </w:r>
      <w:r>
        <w:rPr>
          <w:rFonts w:hint="eastAsia"/>
          <w:color w:val="000000"/>
          <w:spacing w:val="15"/>
          <w:kern w:val="0"/>
          <w:sz w:val="24"/>
          <w:szCs w:val="24"/>
        </w:rPr>
        <w:t>标人</w:t>
      </w:r>
      <w:r>
        <w:rPr>
          <w:rFonts w:hint="eastAsia" w:ascii="宋体" w:hAnsi="宋体" w:cs="仿宋"/>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非生产商投标须提供经销商、代理商资格证明材料（签订合同前提交）。</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3.5</w:t>
      </w:r>
      <w:r>
        <w:rPr>
          <w:rFonts w:hint="eastAsia"/>
          <w:color w:val="000000"/>
          <w:kern w:val="0"/>
          <w:sz w:val="24"/>
          <w:szCs w:val="24"/>
        </w:rPr>
        <w:t>提供“具备履行合同所必需的设备和专业技术能力”的承诺书（格式自定，加盖投标人公章）。</w:t>
      </w:r>
    </w:p>
    <w:p>
      <w:pPr>
        <w:widowControl/>
        <w:shd w:val="clear" w:color="auto" w:fill="FFFFFF"/>
        <w:spacing w:line="440" w:lineRule="exact"/>
        <w:ind w:firstLine="440"/>
        <w:rPr>
          <w:rFonts w:ascii="宋体" w:cs="宋体"/>
          <w:b/>
          <w:color w:val="FF0000"/>
          <w:kern w:val="0"/>
          <w:sz w:val="24"/>
          <w:szCs w:val="24"/>
        </w:rPr>
      </w:pPr>
      <w:r>
        <w:rPr>
          <w:rFonts w:ascii="宋体" w:hAnsi="宋体"/>
          <w:sz w:val="24"/>
          <w:szCs w:val="24"/>
        </w:rPr>
        <w:t>3.6</w:t>
      </w:r>
      <w:r>
        <w:rPr>
          <w:rFonts w:hint="eastAsia" w:ascii="宋体" w:hAnsi="宋体"/>
          <w:sz w:val="24"/>
          <w:szCs w:val="24"/>
        </w:rPr>
        <w:t>其他。</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b/>
          <w:color w:val="000000"/>
          <w:kern w:val="0"/>
          <w:sz w:val="24"/>
          <w:szCs w:val="24"/>
        </w:rPr>
      </w:pPr>
      <w:r>
        <w:rPr>
          <w:rFonts w:hint="eastAsia"/>
          <w:b/>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color w:val="000000"/>
          <w:kern w:val="0"/>
          <w:sz w:val="24"/>
          <w:szCs w:val="24"/>
        </w:rPr>
      </w:pPr>
      <w:r>
        <w:rPr>
          <w:rFonts w:hint="eastAsia"/>
          <w:color w:val="000000"/>
          <w:kern w:val="0"/>
          <w:sz w:val="24"/>
          <w:szCs w:val="24"/>
        </w:rPr>
        <w:t>6</w:t>
      </w:r>
      <w:r>
        <w:rPr>
          <w:color w:val="000000"/>
          <w:kern w:val="0"/>
          <w:sz w:val="24"/>
          <w:szCs w:val="24"/>
        </w:rPr>
        <w:t>.</w:t>
      </w:r>
      <w:r>
        <w:rPr>
          <w:rFonts w:hint="eastAsia"/>
          <w:color w:val="000000"/>
          <w:kern w:val="0"/>
          <w:sz w:val="24"/>
          <w:szCs w:val="24"/>
        </w:rPr>
        <w:t>所投设备（服务）的技术资料</w:t>
      </w:r>
    </w:p>
    <w:p>
      <w:pPr>
        <w:spacing w:line="440" w:lineRule="exact"/>
        <w:ind w:firstLine="480" w:firstLineChars="200"/>
        <w:rPr>
          <w:rFonts w:ascii="宋体"/>
          <w:color w:val="000000"/>
          <w:sz w:val="24"/>
          <w:szCs w:val="24"/>
        </w:rPr>
      </w:pPr>
      <w:r>
        <w:rPr>
          <w:rFonts w:ascii="宋体" w:hAnsi="宋体"/>
          <w:color w:val="000000"/>
          <w:sz w:val="24"/>
          <w:szCs w:val="24"/>
        </w:rPr>
        <w:t>6.1</w:t>
      </w:r>
      <w:r>
        <w:rPr>
          <w:rFonts w:hint="eastAsia" w:ascii="宋体" w:hAnsi="宋体"/>
          <w:color w:val="000000"/>
          <w:sz w:val="24"/>
          <w:szCs w:val="24"/>
        </w:rPr>
        <w:t>投标货物的详细供货清单（主要包括配置情况、主要部件、配套件、备品备件及专用工具等的名称、品牌、型号规格、主要技术参数及性能、数量、单价、制造商全称及制造地点等）；</w:t>
      </w:r>
    </w:p>
    <w:p>
      <w:pPr>
        <w:spacing w:line="440" w:lineRule="exact"/>
        <w:ind w:firstLine="480" w:firstLineChars="200"/>
        <w:rPr>
          <w:rFonts w:ascii="宋体"/>
          <w:color w:val="000000"/>
          <w:sz w:val="24"/>
          <w:szCs w:val="24"/>
        </w:rPr>
      </w:pPr>
      <w:r>
        <w:rPr>
          <w:rFonts w:ascii="宋体" w:hAnsi="宋体"/>
          <w:color w:val="000000"/>
          <w:sz w:val="24"/>
          <w:szCs w:val="24"/>
        </w:rPr>
        <w:t>6.2</w:t>
      </w:r>
      <w:r>
        <w:rPr>
          <w:rFonts w:hint="eastAsia" w:ascii="宋体" w:hAnsi="宋体"/>
          <w:color w:val="000000"/>
          <w:sz w:val="24"/>
          <w:szCs w:val="24"/>
        </w:rPr>
        <w:t>投标货物交货时可提供的技术资料清单；</w:t>
      </w:r>
    </w:p>
    <w:p>
      <w:pPr>
        <w:spacing w:line="440" w:lineRule="exact"/>
        <w:ind w:firstLine="480" w:firstLineChars="200"/>
        <w:rPr>
          <w:rFonts w:ascii="宋体"/>
          <w:color w:val="000000"/>
          <w:sz w:val="24"/>
          <w:szCs w:val="24"/>
        </w:rPr>
      </w:pPr>
      <w:r>
        <w:rPr>
          <w:rFonts w:ascii="宋体" w:hAnsi="宋体"/>
          <w:color w:val="000000"/>
          <w:sz w:val="24"/>
          <w:szCs w:val="24"/>
        </w:rPr>
        <w:t>6.3</w:t>
      </w:r>
      <w:r>
        <w:rPr>
          <w:rFonts w:hint="eastAsia" w:ascii="宋体" w:hAnsi="宋体"/>
          <w:color w:val="000000"/>
          <w:sz w:val="24"/>
          <w:szCs w:val="24"/>
        </w:rPr>
        <w:t>卖方关于投标货物知识产权的承诺书；</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spacing w:line="520" w:lineRule="exact"/>
        <w:ind w:firstLine="480" w:firstLineChars="200"/>
        <w:rPr>
          <w:rFonts w:ascii="宋体" w:cs="宋体"/>
          <w:kern w:val="0"/>
          <w:sz w:val="24"/>
        </w:rPr>
      </w:pPr>
      <w:r>
        <w:rPr>
          <w:color w:val="000000"/>
          <w:sz w:val="24"/>
          <w:szCs w:val="24"/>
        </w:rPr>
        <w:t>1-7</w:t>
      </w:r>
      <w:r>
        <w:rPr>
          <w:rFonts w:hint="eastAsia"/>
          <w:color w:val="000000"/>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color w:val="auto"/>
          <w:spacing w:val="15"/>
          <w:kern w:val="0"/>
          <w:sz w:val="24"/>
          <w:szCs w:val="24"/>
        </w:rPr>
        <w:t>2019</w:t>
      </w:r>
      <w:r>
        <w:rPr>
          <w:rFonts w:hint="eastAsia" w:ascii="宋体" w:hAnsi="宋体" w:cs="Arial"/>
          <w:color w:val="auto"/>
          <w:spacing w:val="15"/>
          <w:kern w:val="0"/>
          <w:sz w:val="24"/>
          <w:szCs w:val="24"/>
        </w:rPr>
        <w:t>年</w:t>
      </w:r>
      <w:r>
        <w:rPr>
          <w:rFonts w:hint="eastAsia" w:ascii="宋体" w:hAnsi="宋体" w:cs="Arial"/>
          <w:color w:val="auto"/>
          <w:spacing w:val="15"/>
          <w:kern w:val="0"/>
          <w:sz w:val="24"/>
          <w:szCs w:val="24"/>
          <w:lang w:val="en-US" w:eastAsia="zh-CN"/>
        </w:rPr>
        <w:t>6</w:t>
      </w:r>
      <w:r>
        <w:rPr>
          <w:rFonts w:hint="eastAsia" w:ascii="宋体" w:hAnsi="宋体" w:cs="Arial"/>
          <w:color w:val="auto"/>
          <w:spacing w:val="15"/>
          <w:kern w:val="0"/>
          <w:sz w:val="24"/>
          <w:szCs w:val="24"/>
        </w:rPr>
        <w:t>月</w:t>
      </w:r>
      <w:r>
        <w:rPr>
          <w:rFonts w:hint="eastAsia" w:ascii="宋体" w:hAnsi="宋体" w:cs="Arial"/>
          <w:color w:val="auto"/>
          <w:spacing w:val="15"/>
          <w:kern w:val="0"/>
          <w:sz w:val="24"/>
          <w:szCs w:val="24"/>
          <w:lang w:val="en-US" w:eastAsia="zh-CN"/>
        </w:rPr>
        <w:t>18</w:t>
      </w:r>
      <w:r>
        <w:rPr>
          <w:rFonts w:hint="eastAsia" w:ascii="宋体" w:hAnsi="宋体" w:cs="Arial"/>
          <w:color w:val="auto"/>
          <w:spacing w:val="15"/>
          <w:kern w:val="0"/>
          <w:sz w:val="24"/>
          <w:szCs w:val="24"/>
        </w:rPr>
        <w:t>日</w:t>
      </w:r>
      <w:r>
        <w:rPr>
          <w:rFonts w:hint="eastAsia" w:ascii="宋体" w:hAnsi="宋体" w:cs="Arial"/>
          <w:color w:val="auto"/>
          <w:spacing w:val="15"/>
          <w:kern w:val="0"/>
          <w:sz w:val="24"/>
          <w:szCs w:val="24"/>
          <w:lang w:val="en-US" w:eastAsia="zh-CN"/>
        </w:rPr>
        <w:t>上</w:t>
      </w:r>
      <w:r>
        <w:rPr>
          <w:rFonts w:hint="eastAsia" w:ascii="宋体" w:hAnsi="宋体" w:cs="Arial"/>
          <w:color w:val="auto"/>
          <w:spacing w:val="15"/>
          <w:kern w:val="0"/>
          <w:sz w:val="24"/>
          <w:szCs w:val="24"/>
        </w:rPr>
        <w:t>午</w:t>
      </w:r>
      <w:r>
        <w:rPr>
          <w:rFonts w:hint="eastAsia" w:ascii="宋体" w:hAnsi="宋体" w:cs="Arial"/>
          <w:color w:val="auto"/>
          <w:spacing w:val="15"/>
          <w:kern w:val="0"/>
          <w:sz w:val="24"/>
          <w:szCs w:val="24"/>
          <w:lang w:val="en-US" w:eastAsia="zh-CN"/>
        </w:rPr>
        <w:t>9</w:t>
      </w:r>
      <w:r>
        <w:rPr>
          <w:rFonts w:ascii="宋体" w:hAnsi="宋体" w:cs="Arial"/>
          <w:color w:val="auto"/>
          <w:spacing w:val="15"/>
          <w:kern w:val="0"/>
          <w:sz w:val="24"/>
          <w:szCs w:val="24"/>
        </w:rPr>
        <w:t>:</w:t>
      </w:r>
      <w:r>
        <w:rPr>
          <w:rFonts w:ascii="宋体" w:cs="Arial"/>
          <w:color w:val="auto"/>
          <w:spacing w:val="15"/>
          <w:kern w:val="0"/>
          <w:sz w:val="24"/>
          <w:szCs w:val="24"/>
        </w:rPr>
        <w:t>0</w:t>
      </w:r>
      <w:r>
        <w:rPr>
          <w:rFonts w:ascii="宋体" w:hAnsi="宋体" w:cs="Arial"/>
          <w:color w:val="auto"/>
          <w:spacing w:val="15"/>
          <w:kern w:val="0"/>
          <w:sz w:val="24"/>
          <w:szCs w:val="24"/>
        </w:rPr>
        <w:t>0</w:t>
      </w:r>
      <w:r>
        <w:rPr>
          <w:rFonts w:ascii="宋体" w:hAnsi="宋体" w:cs="Arial"/>
          <w:color w:val="000000"/>
          <w:spacing w:val="15"/>
          <w:kern w:val="0"/>
          <w:sz w:val="24"/>
          <w:szCs w:val="24"/>
        </w:rPr>
        <w:t>-1</w:t>
      </w:r>
      <w:r>
        <w:rPr>
          <w:rFonts w:hint="eastAsia" w:ascii="宋体" w:hAnsi="宋体" w:cs="Arial"/>
          <w:color w:val="000000"/>
          <w:spacing w:val="15"/>
          <w:kern w:val="0"/>
          <w:sz w:val="24"/>
          <w:szCs w:val="24"/>
          <w:lang w:val="en-US" w:eastAsia="zh-CN"/>
        </w:rPr>
        <w:t>0</w:t>
      </w:r>
      <w:r>
        <w:rPr>
          <w:rFonts w:ascii="宋体" w:hAnsi="宋体" w:cs="Arial"/>
          <w:color w:val="000000"/>
          <w:spacing w:val="15"/>
          <w:kern w:val="0"/>
          <w:sz w:val="24"/>
          <w:szCs w:val="24"/>
        </w:rPr>
        <w:t>:</w:t>
      </w:r>
      <w:r>
        <w:rPr>
          <w:rFonts w:hint="eastAsia" w:ascii="宋体" w:hAnsi="宋体" w:cs="Arial"/>
          <w:color w:val="000000"/>
          <w:spacing w:val="15"/>
          <w:kern w:val="0"/>
          <w:sz w:val="24"/>
          <w:szCs w:val="24"/>
          <w:lang w:val="en-US" w:eastAsia="zh-CN"/>
        </w:rPr>
        <w:t>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rFonts w:ascii="Arial" w:hAnsi="Arial" w:cs="Arial"/>
          <w:color w:val="000000"/>
          <w:kern w:val="0"/>
          <w:sz w:val="24"/>
          <w:szCs w:val="24"/>
        </w:rPr>
      </w:pPr>
      <w:r>
        <w:rPr>
          <w:color w:val="000000"/>
          <w:spacing w:val="15"/>
          <w:kern w:val="0"/>
          <w:sz w:val="24"/>
          <w:szCs w:val="24"/>
        </w:rPr>
        <w:t>3.</w:t>
      </w:r>
      <w:r>
        <w:rPr>
          <w:rFonts w:hint="eastAsia"/>
          <w:color w:val="000000"/>
          <w:spacing w:val="15"/>
          <w:kern w:val="0"/>
          <w:sz w:val="24"/>
          <w:szCs w:val="24"/>
        </w:rPr>
        <w:t>投标有效期</w:t>
      </w: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hint="eastAsia" w:ascii="宋体" w:hAnsi="宋体" w:cs="Arial"/>
          <w:color w:val="auto"/>
          <w:spacing w:val="15"/>
          <w:kern w:val="0"/>
          <w:sz w:val="24"/>
        </w:rPr>
        <w:t>：</w:t>
      </w:r>
      <w:r>
        <w:rPr>
          <w:rFonts w:ascii="宋体" w:hAnsi="宋体" w:cs="Arial"/>
          <w:color w:val="auto"/>
          <w:spacing w:val="15"/>
          <w:kern w:val="0"/>
          <w:sz w:val="24"/>
          <w:szCs w:val="24"/>
        </w:rPr>
        <w:t>2019</w:t>
      </w:r>
      <w:r>
        <w:rPr>
          <w:rFonts w:hint="eastAsia" w:ascii="宋体" w:hAnsi="宋体" w:cs="Arial"/>
          <w:color w:val="auto"/>
          <w:spacing w:val="15"/>
          <w:kern w:val="0"/>
          <w:sz w:val="24"/>
          <w:szCs w:val="24"/>
        </w:rPr>
        <w:t>年</w:t>
      </w:r>
      <w:r>
        <w:rPr>
          <w:rFonts w:hint="eastAsia" w:ascii="宋体" w:hAnsi="宋体" w:cs="Arial"/>
          <w:color w:val="auto"/>
          <w:spacing w:val="15"/>
          <w:kern w:val="0"/>
          <w:sz w:val="24"/>
          <w:szCs w:val="24"/>
          <w:lang w:val="en-US" w:eastAsia="zh-CN"/>
        </w:rPr>
        <w:t>6</w:t>
      </w:r>
      <w:r>
        <w:rPr>
          <w:rFonts w:hint="eastAsia" w:ascii="宋体" w:hAnsi="宋体" w:cs="Arial"/>
          <w:color w:val="auto"/>
          <w:spacing w:val="15"/>
          <w:kern w:val="0"/>
          <w:sz w:val="24"/>
          <w:szCs w:val="24"/>
        </w:rPr>
        <w:t>月</w:t>
      </w:r>
      <w:r>
        <w:rPr>
          <w:rFonts w:hint="eastAsia" w:ascii="宋体" w:hAnsi="宋体" w:cs="Arial"/>
          <w:color w:val="auto"/>
          <w:spacing w:val="15"/>
          <w:kern w:val="0"/>
          <w:sz w:val="24"/>
          <w:szCs w:val="24"/>
          <w:lang w:val="en-US" w:eastAsia="zh-CN"/>
        </w:rPr>
        <w:t>19</w:t>
      </w:r>
      <w:r>
        <w:rPr>
          <w:rFonts w:hint="eastAsia" w:ascii="宋体" w:hAnsi="宋体" w:cs="Arial"/>
          <w:color w:val="auto"/>
          <w:spacing w:val="15"/>
          <w:kern w:val="0"/>
          <w:sz w:val="24"/>
          <w:szCs w:val="24"/>
        </w:rPr>
        <w:t>日下午（投标</w:t>
      </w:r>
      <w:r>
        <w:rPr>
          <w:rFonts w:hint="eastAsia" w:ascii="宋体" w:hAnsi="宋体" w:cs="Arial"/>
          <w:color w:val="000000"/>
          <w:spacing w:val="15"/>
          <w:kern w:val="0"/>
          <w:sz w:val="24"/>
          <w:szCs w:val="24"/>
        </w:rPr>
        <w:t>结束确定具体时间）</w:t>
      </w:r>
      <w:r>
        <w:rPr>
          <w:rFonts w:hint="eastAsia" w:ascii="宋体" w:hAnsi="宋体" w:cs="Arial"/>
          <w:color w:val="000000"/>
          <w:spacing w:val="15"/>
          <w:kern w:val="0"/>
          <w:sz w:val="24"/>
        </w:rPr>
        <w:t>；</w:t>
      </w:r>
      <w:r>
        <w:rPr>
          <w:rFonts w:ascii="宋体" w:hAnsi="宋体" w:cs="Arial"/>
          <w:color w:val="000000"/>
          <w:spacing w:val="15"/>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rFonts w:ascii="Arial" w:hAnsi="Arial" w:cs="Arial"/>
          <w:color w:val="000000"/>
          <w:kern w:val="0"/>
          <w:sz w:val="24"/>
          <w:szCs w:val="24"/>
        </w:rPr>
      </w:pPr>
      <w:r>
        <w:rPr>
          <w:rFonts w:hint="eastAsia" w:ascii="Arial" w:hAnsi="Arial" w:cs="Arial"/>
          <w:b/>
          <w:color w:val="000000"/>
          <w:kern w:val="0"/>
          <w:sz w:val="24"/>
          <w:szCs w:val="24"/>
        </w:rPr>
        <w:t>本项目采用综合评分法。</w:t>
      </w:r>
      <w:r>
        <w:rPr>
          <w:rFonts w:hint="eastAsia" w:ascii="Arial" w:hAnsi="Arial" w:cs="Arial"/>
          <w:color w:val="000000"/>
          <w:kern w:val="0"/>
          <w:sz w:val="24"/>
          <w:szCs w:val="24"/>
        </w:rPr>
        <w:t>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且按照评审因素的量化指标评审得分最高的投标人为中标候选人的评标方法。</w:t>
      </w:r>
      <w:r>
        <w:rPr>
          <w:rFonts w:hint="eastAsia" w:ascii="Arial" w:hAnsi="Arial" w:cs="Arial"/>
          <w:kern w:val="0"/>
          <w:sz w:val="24"/>
          <w:szCs w:val="24"/>
        </w:rPr>
        <w:t>评委会将依据评分标准（见下表）</w:t>
      </w:r>
      <w:r>
        <w:rPr>
          <w:rFonts w:hint="eastAsia" w:ascii="Arial" w:hAnsi="Arial" w:cs="Arial"/>
          <w:b/>
          <w:kern w:val="0"/>
          <w:sz w:val="24"/>
          <w:szCs w:val="24"/>
        </w:rPr>
        <w:t>对各个标段分别进行评标，</w:t>
      </w:r>
      <w:r>
        <w:rPr>
          <w:rFonts w:hint="eastAsia" w:ascii="Arial" w:hAnsi="Arial" w:cs="Arial"/>
          <w:kern w:val="0"/>
          <w:sz w:val="24"/>
          <w:szCs w:val="24"/>
        </w:rPr>
        <w:t>本评分标准的总分为</w:t>
      </w:r>
      <w:r>
        <w:rPr>
          <w:rFonts w:ascii="Arial" w:hAnsi="Arial" w:cs="Arial"/>
          <w:kern w:val="0"/>
          <w:sz w:val="24"/>
          <w:szCs w:val="24"/>
        </w:rPr>
        <w:t>100</w:t>
      </w:r>
      <w:r>
        <w:rPr>
          <w:rFonts w:hint="eastAsia" w:ascii="Arial" w:hAnsi="Arial" w:cs="Arial"/>
          <w:kern w:val="0"/>
          <w:sz w:val="24"/>
          <w:szCs w:val="24"/>
        </w:rPr>
        <w:t>分。按评审</w:t>
      </w:r>
      <w:r>
        <w:rPr>
          <w:rFonts w:hint="eastAsia" w:ascii="Arial" w:hAnsi="Arial" w:cs="Arial"/>
          <w:color w:val="000000"/>
          <w:kern w:val="0"/>
          <w:sz w:val="24"/>
          <w:szCs w:val="24"/>
        </w:rPr>
        <w:t>后得分由高到低顺序排列。得分相同的，按投标报价由低到高顺序排列；得分且投标报价相同的并列，按技术指标优劣顺序排列。投标文件满足招标文件</w:t>
      </w:r>
      <w:r>
        <w:rPr>
          <w:rFonts w:hint="eastAsia" w:ascii="Arial" w:hAnsi="Arial" w:cs="Arial"/>
          <w:kern w:val="0"/>
          <w:sz w:val="24"/>
          <w:szCs w:val="24"/>
        </w:rPr>
        <w:t>全部实质性要求，</w:t>
      </w:r>
      <w:r>
        <w:rPr>
          <w:rFonts w:hint="eastAsia" w:ascii="Arial" w:hAnsi="Arial" w:cs="Arial"/>
          <w:color w:val="000000"/>
          <w:kern w:val="0"/>
          <w:sz w:val="24"/>
          <w:szCs w:val="24"/>
        </w:rPr>
        <w:t>且按照评审因素的量化指标评审得分最高的投标人为排名第一的中标候选人。</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line="400" w:lineRule="exact"/>
        <w:jc w:val="center"/>
        <w:rPr>
          <w:rFonts w:ascii="宋体"/>
          <w:color w:val="000000"/>
          <w:sz w:val="24"/>
        </w:rPr>
      </w:pPr>
      <w:r>
        <w:rPr>
          <w:rFonts w:hint="eastAsia" w:ascii="宋体" w:hAnsi="宋体"/>
          <w:color w:val="000000"/>
          <w:sz w:val="24"/>
        </w:rPr>
        <w:t>评分标准</w:t>
      </w:r>
    </w:p>
    <w:tbl>
      <w:tblPr>
        <w:tblStyle w:val="11"/>
        <w:tblW w:w="8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772"/>
        <w:gridCol w:w="6175"/>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76" w:type="dxa"/>
            <w:vAlign w:val="center"/>
          </w:tcPr>
          <w:p>
            <w:pPr>
              <w:snapToGrid w:val="0"/>
              <w:spacing w:line="360" w:lineRule="exact"/>
              <w:jc w:val="center"/>
              <w:rPr>
                <w:rFonts w:ascii="宋体" w:cs="宋体"/>
                <w:szCs w:val="21"/>
              </w:rPr>
            </w:pPr>
            <w:r>
              <w:rPr>
                <w:rFonts w:hint="eastAsia" w:ascii="宋体" w:hAnsi="宋体" w:cs="宋体"/>
                <w:kern w:val="0"/>
                <w:szCs w:val="21"/>
              </w:rPr>
              <w:t>项</w:t>
            </w:r>
            <w:r>
              <w:rPr>
                <w:rFonts w:ascii="宋体" w:hAnsi="宋体" w:cs="宋体"/>
                <w:kern w:val="0"/>
                <w:szCs w:val="21"/>
              </w:rPr>
              <w:t xml:space="preserve"> </w:t>
            </w:r>
            <w:r>
              <w:rPr>
                <w:rFonts w:hint="eastAsia" w:ascii="宋体" w:hAnsi="宋体" w:cs="宋体"/>
                <w:kern w:val="0"/>
                <w:szCs w:val="21"/>
              </w:rPr>
              <w:t>目</w:t>
            </w:r>
          </w:p>
        </w:tc>
        <w:tc>
          <w:tcPr>
            <w:tcW w:w="772" w:type="dxa"/>
            <w:vAlign w:val="center"/>
          </w:tcPr>
          <w:p>
            <w:pPr>
              <w:snapToGrid w:val="0"/>
              <w:spacing w:line="360" w:lineRule="exact"/>
              <w:jc w:val="center"/>
              <w:rPr>
                <w:rFonts w:ascii="宋体" w:cs="宋体"/>
                <w:szCs w:val="21"/>
              </w:rPr>
            </w:pPr>
            <w:r>
              <w:rPr>
                <w:rFonts w:hint="eastAsia" w:ascii="宋体" w:hAnsi="宋体" w:cs="宋体"/>
                <w:kern w:val="0"/>
                <w:szCs w:val="21"/>
              </w:rPr>
              <w:t>分数</w:t>
            </w:r>
          </w:p>
        </w:tc>
        <w:tc>
          <w:tcPr>
            <w:tcW w:w="6175" w:type="dxa"/>
            <w:vAlign w:val="center"/>
          </w:tcPr>
          <w:p>
            <w:pPr>
              <w:snapToGrid w:val="0"/>
              <w:spacing w:line="360" w:lineRule="exact"/>
              <w:jc w:val="center"/>
              <w:rPr>
                <w:rFonts w:ascii="宋体" w:cs="宋体"/>
                <w:szCs w:val="21"/>
              </w:rPr>
            </w:pPr>
            <w:r>
              <w:rPr>
                <w:rFonts w:hint="eastAsia" w:ascii="宋体" w:hAnsi="宋体" w:cs="宋体"/>
                <w:kern w:val="0"/>
                <w:szCs w:val="21"/>
              </w:rPr>
              <w:t>评分标准</w:t>
            </w:r>
          </w:p>
        </w:tc>
        <w:tc>
          <w:tcPr>
            <w:tcW w:w="580" w:type="dxa"/>
            <w:vAlign w:val="center"/>
          </w:tcPr>
          <w:p>
            <w:pPr>
              <w:snapToGrid w:val="0"/>
              <w:spacing w:line="360" w:lineRule="exact"/>
              <w:jc w:val="center"/>
              <w:rPr>
                <w:rFonts w:ascii="宋体" w:hAnsi="宋体" w:cs="宋体"/>
                <w:kern w:val="0"/>
                <w:szCs w:val="21"/>
              </w:rPr>
            </w:pPr>
            <w:r>
              <w:rPr>
                <w:rFonts w:hint="eastAsia" w:ascii="宋体" w:hAnsi="宋体" w:cs="宋体"/>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jc w:val="center"/>
        </w:trPr>
        <w:tc>
          <w:tcPr>
            <w:tcW w:w="1076" w:type="dxa"/>
            <w:vAlign w:val="center"/>
          </w:tcPr>
          <w:p>
            <w:pPr>
              <w:snapToGrid w:val="0"/>
              <w:spacing w:line="360" w:lineRule="exact"/>
              <w:jc w:val="center"/>
              <w:rPr>
                <w:rFonts w:ascii="宋体"/>
                <w:szCs w:val="21"/>
              </w:rPr>
            </w:pPr>
            <w:r>
              <w:rPr>
                <w:rFonts w:hint="eastAsia" w:ascii="宋体" w:hAnsi="宋体" w:cs="宋体"/>
                <w:b/>
                <w:kern w:val="0"/>
                <w:szCs w:val="21"/>
              </w:rPr>
              <w:t>投标报价</w:t>
            </w:r>
          </w:p>
        </w:tc>
        <w:tc>
          <w:tcPr>
            <w:tcW w:w="772" w:type="dxa"/>
            <w:vAlign w:val="center"/>
          </w:tcPr>
          <w:p>
            <w:pPr>
              <w:snapToGrid w:val="0"/>
              <w:spacing w:line="360" w:lineRule="exact"/>
              <w:jc w:val="center"/>
              <w:rPr>
                <w:rFonts w:hint="eastAsia" w:ascii="宋体" w:hAnsi="宋体" w:eastAsia="宋体"/>
                <w:szCs w:val="21"/>
                <w:lang w:eastAsia="zh-CN"/>
              </w:rPr>
            </w:pPr>
            <w:r>
              <w:rPr>
                <w:rFonts w:ascii="宋体" w:hAnsi="宋体"/>
                <w:szCs w:val="21"/>
              </w:rPr>
              <w:t>4</w:t>
            </w:r>
            <w:r>
              <w:rPr>
                <w:rFonts w:hint="eastAsia" w:ascii="宋体" w:hAnsi="宋体"/>
                <w:szCs w:val="21"/>
                <w:lang w:val="en-US" w:eastAsia="zh-CN"/>
              </w:rPr>
              <w:t>0</w:t>
            </w:r>
          </w:p>
        </w:tc>
        <w:tc>
          <w:tcPr>
            <w:tcW w:w="6175" w:type="dxa"/>
            <w:vAlign w:val="center"/>
          </w:tcPr>
          <w:p>
            <w:pPr>
              <w:spacing w:line="360" w:lineRule="exact"/>
              <w:rPr>
                <w:rFonts w:ascii="宋体" w:cs="宋体"/>
                <w:kern w:val="0"/>
                <w:szCs w:val="21"/>
              </w:rPr>
            </w:pPr>
            <w:r>
              <w:rPr>
                <w:rFonts w:hint="eastAsia" w:ascii="宋体" w:hAnsi="宋体" w:cs="宋体"/>
                <w:kern w:val="0"/>
                <w:szCs w:val="21"/>
              </w:rPr>
              <w:t>以满足招标要求且投标报价最低的有效报价为评标基准价，投标报价等于基准价得</w:t>
            </w:r>
            <w:r>
              <w:rPr>
                <w:rFonts w:ascii="宋体" w:hAnsi="宋体" w:cs="宋体"/>
                <w:kern w:val="0"/>
                <w:szCs w:val="21"/>
              </w:rPr>
              <w:t>4</w:t>
            </w:r>
            <w:r>
              <w:rPr>
                <w:rFonts w:hint="eastAsia" w:ascii="宋体" w:hAnsi="宋体" w:cs="宋体"/>
                <w:kern w:val="0"/>
                <w:szCs w:val="21"/>
                <w:lang w:val="en-US" w:eastAsia="zh-CN"/>
              </w:rPr>
              <w:t>0</w:t>
            </w:r>
            <w:r>
              <w:rPr>
                <w:rFonts w:hint="eastAsia" w:ascii="宋体" w:hAnsi="宋体" w:cs="宋体"/>
                <w:kern w:val="0"/>
                <w:szCs w:val="21"/>
              </w:rPr>
              <w:t>分，投标价格高于基准价的按下列公式计算（保留两位小数）：</w:t>
            </w:r>
          </w:p>
          <w:p>
            <w:pPr>
              <w:numPr>
                <w:ilvl w:val="0"/>
                <w:numId w:val="1"/>
              </w:numPr>
              <w:snapToGrid w:val="0"/>
              <w:spacing w:after="200" w:line="360" w:lineRule="exact"/>
              <w:ind w:left="0"/>
              <w:rPr>
                <w:rFonts w:ascii="宋体"/>
                <w:szCs w:val="21"/>
              </w:rPr>
            </w:pPr>
            <w:r>
              <w:rPr>
                <w:rFonts w:hint="eastAsia" w:ascii="宋体" w:hAnsi="宋体" w:cs="宋体"/>
                <w:kern w:val="0"/>
                <w:szCs w:val="21"/>
              </w:rPr>
              <w:t>投标报价得分</w:t>
            </w:r>
            <w:r>
              <w:rPr>
                <w:rFonts w:ascii="宋体" w:hAnsi="宋体" w:cs="宋体"/>
                <w:kern w:val="0"/>
                <w:szCs w:val="21"/>
              </w:rPr>
              <w:t xml:space="preserve"> =</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投标报价）</w:t>
            </w:r>
            <w:r>
              <w:rPr>
                <w:rFonts w:ascii="宋体" w:hAnsi="宋体" w:cs="宋体"/>
                <w:kern w:val="0"/>
                <w:szCs w:val="21"/>
              </w:rPr>
              <w:t>*4</w:t>
            </w:r>
            <w:r>
              <w:rPr>
                <w:rFonts w:hint="eastAsia" w:ascii="宋体" w:hAnsi="宋体" w:cs="宋体"/>
                <w:kern w:val="0"/>
                <w:szCs w:val="21"/>
                <w:lang w:val="en-US" w:eastAsia="zh-CN"/>
              </w:rPr>
              <w:t>0</w:t>
            </w:r>
          </w:p>
        </w:tc>
        <w:tc>
          <w:tcPr>
            <w:tcW w:w="580" w:type="dxa"/>
          </w:tcPr>
          <w:p>
            <w:pPr>
              <w:numPr>
                <w:ilvl w:val="0"/>
                <w:numId w:val="1"/>
              </w:numPr>
              <w:snapToGrid w:val="0"/>
              <w:spacing w:after="200" w:line="360" w:lineRule="exact"/>
              <w:ind w:left="0"/>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1076" w:type="dxa"/>
            <w:vAlign w:val="center"/>
          </w:tcPr>
          <w:p>
            <w:pPr>
              <w:snapToGrid w:val="0"/>
              <w:spacing w:line="360" w:lineRule="exact"/>
              <w:jc w:val="center"/>
              <w:rPr>
                <w:rFonts w:ascii="宋体" w:hAnsi="宋体" w:cs="宋体"/>
                <w:b/>
                <w:kern w:val="0"/>
                <w:szCs w:val="21"/>
              </w:rPr>
            </w:pPr>
            <w:r>
              <w:rPr>
                <w:rFonts w:hint="eastAsia" w:ascii="宋体" w:hAnsi="宋体" w:cs="宋体"/>
                <w:b/>
                <w:kern w:val="0"/>
                <w:szCs w:val="21"/>
              </w:rPr>
              <w:t>技术要求</w:t>
            </w:r>
          </w:p>
        </w:tc>
        <w:tc>
          <w:tcPr>
            <w:tcW w:w="772" w:type="dxa"/>
            <w:vAlign w:val="center"/>
          </w:tcPr>
          <w:p>
            <w:pPr>
              <w:snapToGrid w:val="0"/>
              <w:spacing w:line="360" w:lineRule="exact"/>
              <w:jc w:val="center"/>
              <w:rPr>
                <w:rFonts w:hint="eastAsia" w:ascii="宋体" w:eastAsia="宋体"/>
                <w:szCs w:val="21"/>
                <w:lang w:eastAsia="zh-CN"/>
              </w:rPr>
            </w:pPr>
            <w:r>
              <w:rPr>
                <w:rFonts w:ascii="宋体" w:hAnsi="宋体"/>
                <w:szCs w:val="21"/>
              </w:rPr>
              <w:t>4</w:t>
            </w:r>
            <w:r>
              <w:rPr>
                <w:rFonts w:hint="eastAsia" w:ascii="宋体" w:hAnsi="宋体"/>
                <w:szCs w:val="21"/>
                <w:lang w:val="en-US" w:eastAsia="zh-CN"/>
              </w:rPr>
              <w:t>5</w:t>
            </w:r>
          </w:p>
        </w:tc>
        <w:tc>
          <w:tcPr>
            <w:tcW w:w="6175" w:type="dxa"/>
            <w:vAlign w:val="center"/>
          </w:tcPr>
          <w:p>
            <w:pPr>
              <w:spacing w:line="360" w:lineRule="exact"/>
              <w:rPr>
                <w:kern w:val="0"/>
                <w:szCs w:val="21"/>
              </w:rPr>
            </w:pPr>
            <w:r>
              <w:rPr>
                <w:kern w:val="0"/>
                <w:szCs w:val="21"/>
              </w:rPr>
              <w:t>1.投标产品的技术参数完全满足招标文件第二章要求，可得</w:t>
            </w:r>
            <w:r>
              <w:rPr>
                <w:rFonts w:hint="eastAsia"/>
                <w:kern w:val="0"/>
                <w:szCs w:val="21"/>
                <w:lang w:val="en-US" w:eastAsia="zh-CN"/>
              </w:rPr>
              <w:t>40</w:t>
            </w:r>
            <w:r>
              <w:rPr>
                <w:kern w:val="0"/>
                <w:szCs w:val="21"/>
              </w:rPr>
              <w:t>分。</w:t>
            </w:r>
          </w:p>
          <w:p>
            <w:pPr>
              <w:spacing w:line="360" w:lineRule="exact"/>
              <w:rPr>
                <w:kern w:val="0"/>
                <w:szCs w:val="21"/>
              </w:rPr>
            </w:pPr>
            <w:r>
              <w:rPr>
                <w:kern w:val="0"/>
                <w:szCs w:val="21"/>
              </w:rPr>
              <w:t>2.以</w:t>
            </w:r>
            <w:r>
              <w:rPr>
                <w:rFonts w:hint="eastAsia"/>
                <w:kern w:val="0"/>
                <w:szCs w:val="21"/>
                <w:lang w:val="en-US" w:eastAsia="zh-CN"/>
              </w:rPr>
              <w:t>40</w:t>
            </w:r>
            <w:r>
              <w:rPr>
                <w:kern w:val="0"/>
                <w:szCs w:val="21"/>
              </w:rPr>
              <w:t>分为基数，技术参数为负偏离</w:t>
            </w:r>
            <w:r>
              <w:rPr>
                <w:rFonts w:hint="eastAsia"/>
                <w:kern w:val="0"/>
                <w:szCs w:val="21"/>
              </w:rPr>
              <w:t>时</w:t>
            </w:r>
            <w:r>
              <w:rPr>
                <w:kern w:val="0"/>
                <w:szCs w:val="21"/>
              </w:rPr>
              <w:t>：不加</w:t>
            </w:r>
            <w:r>
              <w:rPr>
                <w:rFonts w:ascii="Segoe UI Symbol" w:hAnsi="Segoe UI Symbol" w:cs="Segoe UI Symbol"/>
                <w:kern w:val="0"/>
                <w:szCs w:val="21"/>
              </w:rPr>
              <w:t>★</w:t>
            </w:r>
            <w:r>
              <w:rPr>
                <w:kern w:val="0"/>
                <w:szCs w:val="21"/>
              </w:rPr>
              <w:t>项</w:t>
            </w:r>
            <w:r>
              <w:rPr>
                <w:rFonts w:hint="eastAsia"/>
                <w:kern w:val="0"/>
                <w:szCs w:val="21"/>
              </w:rPr>
              <w:t>有负偏离的</w:t>
            </w:r>
            <w:r>
              <w:rPr>
                <w:kern w:val="0"/>
                <w:szCs w:val="21"/>
              </w:rPr>
              <w:t>每一项扣</w:t>
            </w:r>
            <w:r>
              <w:rPr>
                <w:rFonts w:hint="eastAsia"/>
                <w:kern w:val="0"/>
                <w:szCs w:val="21"/>
                <w:lang w:val="en-US" w:eastAsia="zh-CN"/>
              </w:rPr>
              <w:t>1</w:t>
            </w:r>
            <w:r>
              <w:rPr>
                <w:kern w:val="0"/>
                <w:szCs w:val="21"/>
              </w:rPr>
              <w:t>分</w:t>
            </w:r>
            <w:r>
              <w:rPr>
                <w:rFonts w:hint="eastAsia"/>
                <w:kern w:val="0"/>
                <w:szCs w:val="21"/>
              </w:rPr>
              <w:t>；</w:t>
            </w:r>
            <w:r>
              <w:rPr>
                <w:kern w:val="0"/>
                <w:szCs w:val="21"/>
              </w:rPr>
              <w:t>加</w:t>
            </w:r>
            <w:r>
              <w:rPr>
                <w:rFonts w:ascii="Segoe UI Symbol" w:hAnsi="Segoe UI Symbol" w:cs="Segoe UI Symbol"/>
                <w:kern w:val="0"/>
                <w:szCs w:val="21"/>
              </w:rPr>
              <w:t>★</w:t>
            </w:r>
            <w:r>
              <w:rPr>
                <w:kern w:val="0"/>
                <w:szCs w:val="21"/>
              </w:rPr>
              <w:t>项</w:t>
            </w:r>
            <w:r>
              <w:rPr>
                <w:rFonts w:hint="eastAsia"/>
                <w:kern w:val="0"/>
                <w:szCs w:val="21"/>
              </w:rPr>
              <w:t>有1项或</w:t>
            </w:r>
            <w:r>
              <w:rPr>
                <w:kern w:val="0"/>
                <w:szCs w:val="21"/>
              </w:rPr>
              <w:t>不加</w:t>
            </w:r>
            <w:r>
              <w:rPr>
                <w:rFonts w:ascii="Segoe UI Symbol" w:hAnsi="Segoe UI Symbol" w:cs="Segoe UI Symbol"/>
                <w:kern w:val="0"/>
                <w:szCs w:val="21"/>
              </w:rPr>
              <w:t>★</w:t>
            </w:r>
            <w:r>
              <w:rPr>
                <w:kern w:val="0"/>
                <w:szCs w:val="21"/>
              </w:rPr>
              <w:t>项</w:t>
            </w:r>
            <w:r>
              <w:rPr>
                <w:rFonts w:hint="eastAsia"/>
                <w:kern w:val="0"/>
                <w:szCs w:val="21"/>
              </w:rPr>
              <w:t>有3项负偏离为</w:t>
            </w:r>
            <w:r>
              <w:rPr>
                <w:kern w:val="0"/>
                <w:szCs w:val="21"/>
              </w:rPr>
              <w:t>无效标。</w:t>
            </w:r>
          </w:p>
          <w:p>
            <w:pPr>
              <w:widowControl/>
              <w:spacing w:line="360" w:lineRule="exact"/>
              <w:jc w:val="left"/>
              <w:rPr>
                <w:rFonts w:ascii="宋体" w:cs="宋体"/>
                <w:kern w:val="0"/>
                <w:szCs w:val="21"/>
              </w:rPr>
            </w:pPr>
            <w:r>
              <w:rPr>
                <w:kern w:val="0"/>
                <w:szCs w:val="21"/>
              </w:rPr>
              <w:t>3.技术参数为正偏离</w:t>
            </w:r>
            <w:r>
              <w:rPr>
                <w:rFonts w:hint="eastAsia"/>
                <w:kern w:val="0"/>
                <w:szCs w:val="21"/>
              </w:rPr>
              <w:t>时</w:t>
            </w:r>
            <w:r>
              <w:rPr>
                <w:kern w:val="0"/>
                <w:szCs w:val="21"/>
              </w:rPr>
              <w:t>，加</w:t>
            </w:r>
            <w:r>
              <w:rPr>
                <w:rFonts w:ascii="Segoe UI Symbol" w:hAnsi="Segoe UI Symbol" w:cs="Segoe UI Symbol"/>
                <w:kern w:val="0"/>
                <w:szCs w:val="21"/>
              </w:rPr>
              <w:t>★</w:t>
            </w:r>
            <w:r>
              <w:rPr>
                <w:kern w:val="0"/>
                <w:szCs w:val="21"/>
              </w:rPr>
              <w:t>项</w:t>
            </w:r>
            <w:r>
              <w:rPr>
                <w:rFonts w:hint="eastAsia"/>
                <w:kern w:val="0"/>
                <w:szCs w:val="21"/>
              </w:rPr>
              <w:t>有</w:t>
            </w:r>
            <w:r>
              <w:rPr>
                <w:kern w:val="0"/>
                <w:szCs w:val="21"/>
              </w:rPr>
              <w:t>正偏离</w:t>
            </w:r>
            <w:r>
              <w:rPr>
                <w:rFonts w:hint="eastAsia"/>
                <w:kern w:val="0"/>
                <w:szCs w:val="21"/>
              </w:rPr>
              <w:t>的</w:t>
            </w:r>
            <w:r>
              <w:rPr>
                <w:kern w:val="0"/>
                <w:szCs w:val="21"/>
              </w:rPr>
              <w:t>每一项加1分；未加</w:t>
            </w:r>
            <w:r>
              <w:rPr>
                <w:rFonts w:ascii="Segoe UI Symbol" w:hAnsi="Segoe UI Symbol" w:cs="Segoe UI Symbol"/>
                <w:kern w:val="0"/>
                <w:szCs w:val="21"/>
              </w:rPr>
              <w:t>★</w:t>
            </w:r>
            <w:r>
              <w:rPr>
                <w:kern w:val="0"/>
                <w:szCs w:val="21"/>
              </w:rPr>
              <w:t>项</w:t>
            </w:r>
            <w:r>
              <w:rPr>
                <w:rFonts w:hint="eastAsia"/>
                <w:kern w:val="0"/>
                <w:szCs w:val="21"/>
              </w:rPr>
              <w:t>有</w:t>
            </w:r>
            <w:r>
              <w:rPr>
                <w:kern w:val="0"/>
                <w:szCs w:val="21"/>
              </w:rPr>
              <w:t>正偏离</w:t>
            </w:r>
            <w:r>
              <w:rPr>
                <w:rFonts w:hint="eastAsia"/>
                <w:kern w:val="0"/>
                <w:szCs w:val="21"/>
              </w:rPr>
              <w:t>的</w:t>
            </w:r>
            <w:r>
              <w:rPr>
                <w:kern w:val="0"/>
                <w:szCs w:val="21"/>
              </w:rPr>
              <w:t>每一项加0.5分。</w:t>
            </w:r>
            <w:r>
              <w:rPr>
                <w:rFonts w:hint="eastAsia"/>
                <w:kern w:val="0"/>
                <w:szCs w:val="21"/>
              </w:rPr>
              <w:t>技术参数</w:t>
            </w:r>
            <w:r>
              <w:rPr>
                <w:kern w:val="0"/>
                <w:szCs w:val="21"/>
              </w:rPr>
              <w:t>正偏离</w:t>
            </w:r>
            <w:r>
              <w:rPr>
                <w:rFonts w:hint="eastAsia"/>
                <w:kern w:val="0"/>
                <w:szCs w:val="21"/>
              </w:rPr>
              <w:t>加分</w:t>
            </w:r>
            <w:r>
              <w:rPr>
                <w:kern w:val="0"/>
                <w:szCs w:val="21"/>
              </w:rPr>
              <w:t>最高不超过</w:t>
            </w:r>
            <w:r>
              <w:rPr>
                <w:rFonts w:hint="eastAsia"/>
                <w:kern w:val="0"/>
                <w:szCs w:val="21"/>
                <w:lang w:val="en-US" w:eastAsia="zh-CN"/>
              </w:rPr>
              <w:t>5</w:t>
            </w:r>
            <w:r>
              <w:rPr>
                <w:kern w:val="0"/>
                <w:szCs w:val="21"/>
              </w:rPr>
              <w:t>分（须提供正偏离的证明材料，并经2/3以上评委认可，否则不加分）。</w:t>
            </w:r>
          </w:p>
        </w:tc>
        <w:tc>
          <w:tcPr>
            <w:tcW w:w="580" w:type="dxa"/>
          </w:tcPr>
          <w:p>
            <w:pPr>
              <w:widowControl/>
              <w:spacing w:line="360" w:lineRule="exact"/>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076" w:type="dxa"/>
            <w:vAlign w:val="center"/>
          </w:tcPr>
          <w:p>
            <w:pPr>
              <w:snapToGrid w:val="0"/>
              <w:spacing w:line="360" w:lineRule="exact"/>
              <w:jc w:val="center"/>
              <w:rPr>
                <w:rFonts w:ascii="宋体"/>
                <w:szCs w:val="21"/>
              </w:rPr>
            </w:pPr>
            <w:r>
              <w:rPr>
                <w:rFonts w:hint="eastAsia" w:ascii="宋体" w:hAnsi="宋体" w:cs="宋体"/>
                <w:b/>
                <w:kern w:val="0"/>
                <w:szCs w:val="21"/>
              </w:rPr>
              <w:t>品牌</w:t>
            </w:r>
          </w:p>
        </w:tc>
        <w:tc>
          <w:tcPr>
            <w:tcW w:w="772" w:type="dxa"/>
            <w:vAlign w:val="center"/>
          </w:tcPr>
          <w:p>
            <w:pPr>
              <w:snapToGrid w:val="0"/>
              <w:spacing w:line="36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6175" w:type="dxa"/>
            <w:vAlign w:val="center"/>
          </w:tcPr>
          <w:p>
            <w:pPr>
              <w:widowControl/>
              <w:spacing w:line="360" w:lineRule="exact"/>
              <w:rPr>
                <w:rFonts w:ascii="宋体"/>
                <w:bCs/>
                <w:szCs w:val="21"/>
              </w:rPr>
            </w:pPr>
            <w:r>
              <w:rPr>
                <w:rFonts w:hint="eastAsia" w:ascii="宋体"/>
                <w:bCs/>
                <w:szCs w:val="21"/>
              </w:rPr>
              <w:t>按照投标品牌的市场影响力、知名度等情况进行打分，优秀得</w:t>
            </w:r>
            <w:r>
              <w:rPr>
                <w:rFonts w:hint="eastAsia" w:ascii="宋体"/>
                <w:bCs/>
                <w:szCs w:val="21"/>
                <w:lang w:val="en-US" w:eastAsia="zh-CN"/>
              </w:rPr>
              <w:t>5</w:t>
            </w:r>
            <w:r>
              <w:rPr>
                <w:rFonts w:hint="eastAsia" w:ascii="宋体"/>
                <w:bCs/>
                <w:szCs w:val="21"/>
              </w:rPr>
              <w:t>分，良好得</w:t>
            </w:r>
            <w:r>
              <w:rPr>
                <w:rFonts w:hint="eastAsia" w:ascii="宋体"/>
                <w:bCs/>
                <w:szCs w:val="21"/>
                <w:lang w:val="en-US" w:eastAsia="zh-CN"/>
              </w:rPr>
              <w:t>3-4</w:t>
            </w:r>
            <w:r>
              <w:rPr>
                <w:rFonts w:hint="eastAsia" w:ascii="宋体"/>
                <w:bCs/>
                <w:szCs w:val="21"/>
              </w:rPr>
              <w:t>分</w:t>
            </w:r>
            <w:r>
              <w:rPr>
                <w:rFonts w:hint="eastAsia" w:ascii="宋体"/>
                <w:bCs/>
                <w:szCs w:val="21"/>
                <w:lang w:eastAsia="zh-CN"/>
              </w:rPr>
              <w:t>，</w:t>
            </w:r>
            <w:r>
              <w:rPr>
                <w:rFonts w:hint="eastAsia" w:ascii="宋体"/>
                <w:bCs/>
                <w:szCs w:val="21"/>
                <w:lang w:val="en-US" w:eastAsia="zh-CN"/>
              </w:rPr>
              <w:t>一般1-2分</w:t>
            </w:r>
            <w:r>
              <w:rPr>
                <w:rFonts w:hint="eastAsia" w:ascii="宋体"/>
                <w:bCs/>
                <w:szCs w:val="21"/>
              </w:rPr>
              <w:t>。</w:t>
            </w:r>
            <w:r>
              <w:rPr>
                <w:kern w:val="0"/>
                <w:szCs w:val="21"/>
              </w:rPr>
              <w:t>2/3以上评委</w:t>
            </w:r>
            <w:r>
              <w:rPr>
                <w:rFonts w:hint="eastAsia"/>
                <w:kern w:val="0"/>
                <w:szCs w:val="21"/>
                <w:lang w:val="en-US" w:eastAsia="zh-CN"/>
              </w:rPr>
              <w:t>认为品牌</w:t>
            </w:r>
            <w:r>
              <w:rPr>
                <w:rFonts w:hint="eastAsia" w:ascii="宋体"/>
                <w:bCs/>
                <w:szCs w:val="21"/>
              </w:rPr>
              <w:t>档次</w:t>
            </w:r>
            <w:r>
              <w:rPr>
                <w:rFonts w:hint="eastAsia" w:ascii="宋体"/>
                <w:bCs/>
                <w:szCs w:val="21"/>
                <w:lang w:val="en-US" w:eastAsia="zh-CN"/>
              </w:rPr>
              <w:t>低于推荐品牌</w:t>
            </w:r>
            <w:r>
              <w:rPr>
                <w:rFonts w:hint="eastAsia" w:ascii="宋体"/>
                <w:bCs/>
                <w:szCs w:val="21"/>
              </w:rPr>
              <w:t>的，为无效标。</w:t>
            </w:r>
          </w:p>
        </w:tc>
        <w:tc>
          <w:tcPr>
            <w:tcW w:w="580" w:type="dxa"/>
          </w:tcPr>
          <w:p>
            <w:pPr>
              <w:spacing w:line="360" w:lineRule="exact"/>
              <w:jc w:val="left"/>
              <w:rPr>
                <w:rFonts w:ascii="宋体" w:hAnsi="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jc w:val="center"/>
        </w:trPr>
        <w:tc>
          <w:tcPr>
            <w:tcW w:w="1076" w:type="dxa"/>
            <w:vAlign w:val="center"/>
          </w:tcPr>
          <w:p>
            <w:pPr>
              <w:snapToGrid w:val="0"/>
              <w:spacing w:line="360" w:lineRule="exact"/>
              <w:jc w:val="center"/>
              <w:rPr>
                <w:rFonts w:hint="eastAsia" w:ascii="宋体" w:hAnsi="宋体" w:cs="宋体"/>
                <w:b/>
                <w:kern w:val="0"/>
                <w:szCs w:val="21"/>
              </w:rPr>
            </w:pPr>
            <w:r>
              <w:rPr>
                <w:rFonts w:hint="eastAsia" w:ascii="宋体" w:hAnsi="宋体" w:cs="宋体"/>
                <w:b/>
                <w:kern w:val="0"/>
                <w:szCs w:val="21"/>
              </w:rPr>
              <w:t>投标人或投标产品制造商资质、实力</w:t>
            </w:r>
          </w:p>
        </w:tc>
        <w:tc>
          <w:tcPr>
            <w:tcW w:w="772" w:type="dxa"/>
            <w:vAlign w:val="center"/>
          </w:tcPr>
          <w:p>
            <w:pPr>
              <w:snapToGrid w:val="0"/>
              <w:spacing w:line="360" w:lineRule="exact"/>
              <w:jc w:val="center"/>
              <w:rPr>
                <w:rFonts w:hint="eastAsia" w:ascii="宋体" w:hAnsi="宋体" w:eastAsia="宋体"/>
                <w:szCs w:val="21"/>
                <w:lang w:eastAsia="zh-CN"/>
              </w:rPr>
            </w:pPr>
            <w:r>
              <w:rPr>
                <w:rFonts w:hint="eastAsia" w:ascii="宋体" w:hAnsi="宋体"/>
                <w:szCs w:val="21"/>
                <w:lang w:val="en-US" w:eastAsia="zh-CN"/>
              </w:rPr>
              <w:t>2</w:t>
            </w:r>
          </w:p>
        </w:tc>
        <w:tc>
          <w:tcPr>
            <w:tcW w:w="6175" w:type="dxa"/>
            <w:vAlign w:val="center"/>
          </w:tcPr>
          <w:p>
            <w:pPr>
              <w:widowControl/>
              <w:spacing w:line="360" w:lineRule="exact"/>
              <w:rPr>
                <w:rFonts w:hint="eastAsia" w:ascii="宋体"/>
                <w:bCs/>
                <w:szCs w:val="21"/>
              </w:rPr>
            </w:pPr>
            <w:r>
              <w:rPr>
                <w:rFonts w:hint="eastAsia" w:ascii="宋体"/>
                <w:bCs/>
                <w:szCs w:val="21"/>
              </w:rPr>
              <w:t>投标设备制造商具有ISO9001质量管理体系认证得</w:t>
            </w:r>
            <w:r>
              <w:rPr>
                <w:rFonts w:hint="eastAsia" w:ascii="宋体"/>
                <w:bCs/>
                <w:szCs w:val="21"/>
                <w:lang w:val="en-US" w:eastAsia="zh-CN"/>
              </w:rPr>
              <w:t>1</w:t>
            </w:r>
            <w:r>
              <w:rPr>
                <w:rFonts w:hint="eastAsia" w:ascii="宋体"/>
                <w:bCs/>
                <w:szCs w:val="21"/>
              </w:rPr>
              <w:t>分、具有CE认证证书得</w:t>
            </w:r>
            <w:r>
              <w:rPr>
                <w:rFonts w:hint="eastAsia" w:ascii="宋体"/>
                <w:bCs/>
                <w:szCs w:val="21"/>
                <w:lang w:val="en-US" w:eastAsia="zh-CN"/>
              </w:rPr>
              <w:t>1</w:t>
            </w:r>
            <w:r>
              <w:rPr>
                <w:rFonts w:hint="eastAsia" w:ascii="宋体"/>
                <w:bCs/>
                <w:szCs w:val="21"/>
              </w:rPr>
              <w:t>分，累计最高得</w:t>
            </w:r>
            <w:r>
              <w:rPr>
                <w:rFonts w:hint="eastAsia" w:ascii="宋体"/>
                <w:bCs/>
                <w:szCs w:val="21"/>
                <w:lang w:val="en-US" w:eastAsia="zh-CN"/>
              </w:rPr>
              <w:t>2</w:t>
            </w:r>
            <w:r>
              <w:rPr>
                <w:rFonts w:hint="eastAsia" w:ascii="宋体"/>
                <w:bCs/>
                <w:szCs w:val="21"/>
              </w:rPr>
              <w:t>分。（需提供加盖投标商公章的复印件，否则不得分）</w:t>
            </w:r>
          </w:p>
        </w:tc>
        <w:tc>
          <w:tcPr>
            <w:tcW w:w="580" w:type="dxa"/>
          </w:tcPr>
          <w:p>
            <w:pPr>
              <w:spacing w:line="360" w:lineRule="exact"/>
              <w:jc w:val="left"/>
              <w:rPr>
                <w:rFonts w:ascii="宋体" w:hAnsi="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76" w:type="dxa"/>
            <w:vMerge w:val="restart"/>
            <w:vAlign w:val="center"/>
          </w:tcPr>
          <w:p>
            <w:pPr>
              <w:snapToGrid w:val="0"/>
              <w:spacing w:line="360" w:lineRule="exact"/>
              <w:jc w:val="center"/>
              <w:rPr>
                <w:rFonts w:ascii="宋体"/>
                <w:szCs w:val="21"/>
              </w:rPr>
            </w:pPr>
            <w:r>
              <w:rPr>
                <w:rFonts w:hint="eastAsia" w:ascii="宋体" w:hAnsi="宋体" w:cs="宋体"/>
                <w:b/>
                <w:kern w:val="0"/>
                <w:szCs w:val="21"/>
              </w:rPr>
              <w:t>售后服务</w:t>
            </w:r>
          </w:p>
        </w:tc>
        <w:tc>
          <w:tcPr>
            <w:tcW w:w="772" w:type="dxa"/>
            <w:vAlign w:val="center"/>
          </w:tcPr>
          <w:p>
            <w:pPr>
              <w:snapToGrid w:val="0"/>
              <w:spacing w:line="360" w:lineRule="exact"/>
              <w:jc w:val="center"/>
              <w:rPr>
                <w:rFonts w:ascii="宋体"/>
                <w:szCs w:val="21"/>
              </w:rPr>
            </w:pPr>
            <w:r>
              <w:rPr>
                <w:rFonts w:ascii="宋体" w:hAnsi="宋体"/>
                <w:szCs w:val="21"/>
              </w:rPr>
              <w:t>3</w:t>
            </w:r>
          </w:p>
        </w:tc>
        <w:tc>
          <w:tcPr>
            <w:tcW w:w="6175" w:type="dxa"/>
            <w:vAlign w:val="center"/>
          </w:tcPr>
          <w:p>
            <w:pPr>
              <w:spacing w:line="360" w:lineRule="exact"/>
              <w:rPr>
                <w:rFonts w:ascii="宋体"/>
                <w:bCs/>
                <w:szCs w:val="21"/>
              </w:rPr>
            </w:pPr>
            <w:r>
              <w:rPr>
                <w:rFonts w:hint="eastAsia" w:ascii="宋体" w:hAnsi="宋体" w:cs="宋体"/>
                <w:kern w:val="0"/>
                <w:szCs w:val="21"/>
              </w:rPr>
              <w:t>免费质保期限不低于</w:t>
            </w:r>
            <w:r>
              <w:rPr>
                <w:rFonts w:ascii="宋体" w:hAnsi="宋体" w:cs="宋体"/>
                <w:kern w:val="0"/>
                <w:szCs w:val="21"/>
              </w:rPr>
              <w:t>2</w:t>
            </w:r>
            <w:r>
              <w:rPr>
                <w:rFonts w:hint="eastAsia" w:ascii="宋体" w:hAnsi="宋体" w:cs="宋体"/>
                <w:kern w:val="0"/>
                <w:szCs w:val="21"/>
              </w:rPr>
              <w:t>年，超出的每一年加</w:t>
            </w:r>
            <w:r>
              <w:rPr>
                <w:rFonts w:ascii="宋体" w:hAnsi="宋体" w:cs="宋体"/>
                <w:kern w:val="0"/>
                <w:szCs w:val="21"/>
              </w:rPr>
              <w:t>1</w:t>
            </w:r>
            <w:r>
              <w:rPr>
                <w:rFonts w:hint="eastAsia" w:ascii="宋体" w:hAnsi="宋体" w:cs="宋体"/>
                <w:kern w:val="0"/>
                <w:szCs w:val="21"/>
              </w:rPr>
              <w:t>分，最多加</w:t>
            </w:r>
            <w:r>
              <w:rPr>
                <w:rFonts w:ascii="宋体" w:hAnsi="宋体" w:cs="宋体"/>
                <w:kern w:val="0"/>
                <w:szCs w:val="21"/>
              </w:rPr>
              <w:t>3</w:t>
            </w:r>
            <w:r>
              <w:rPr>
                <w:rFonts w:hint="eastAsia" w:ascii="宋体" w:hAnsi="宋体" w:cs="宋体"/>
                <w:kern w:val="0"/>
                <w:szCs w:val="21"/>
              </w:rPr>
              <w:t>分。</w:t>
            </w:r>
          </w:p>
        </w:tc>
        <w:tc>
          <w:tcPr>
            <w:tcW w:w="580" w:type="dxa"/>
          </w:tcPr>
          <w:p>
            <w:pPr>
              <w:spacing w:line="360" w:lineRule="exact"/>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076" w:type="dxa"/>
            <w:vMerge w:val="continue"/>
            <w:vAlign w:val="center"/>
          </w:tcPr>
          <w:p>
            <w:pPr>
              <w:snapToGrid w:val="0"/>
              <w:spacing w:line="360" w:lineRule="exact"/>
              <w:jc w:val="center"/>
              <w:rPr>
                <w:rFonts w:ascii="宋体"/>
                <w:szCs w:val="21"/>
              </w:rPr>
            </w:pPr>
          </w:p>
        </w:tc>
        <w:tc>
          <w:tcPr>
            <w:tcW w:w="772" w:type="dxa"/>
            <w:vAlign w:val="center"/>
          </w:tcPr>
          <w:p>
            <w:pPr>
              <w:snapToGrid w:val="0"/>
              <w:spacing w:line="360" w:lineRule="exact"/>
              <w:jc w:val="center"/>
              <w:rPr>
                <w:rFonts w:ascii="宋体"/>
                <w:szCs w:val="21"/>
                <w:highlight w:val="green"/>
              </w:rPr>
            </w:pPr>
            <w:r>
              <w:rPr>
                <w:rFonts w:ascii="宋体" w:hAnsi="宋体"/>
                <w:szCs w:val="21"/>
              </w:rPr>
              <w:t>5</w:t>
            </w:r>
          </w:p>
        </w:tc>
        <w:tc>
          <w:tcPr>
            <w:tcW w:w="6175" w:type="dxa"/>
            <w:vAlign w:val="center"/>
          </w:tcPr>
          <w:p>
            <w:pPr>
              <w:spacing w:line="360" w:lineRule="exact"/>
              <w:rPr>
                <w:rFonts w:ascii="宋体" w:cs="宋体"/>
                <w:kern w:val="0"/>
                <w:szCs w:val="21"/>
              </w:rPr>
            </w:pPr>
            <w:r>
              <w:rPr>
                <w:rFonts w:hint="eastAsia" w:ascii="宋体" w:hAnsi="宋体"/>
                <w:bCs/>
                <w:szCs w:val="21"/>
              </w:rPr>
              <w:t>根据</w:t>
            </w:r>
            <w:r>
              <w:rPr>
                <w:rFonts w:hint="eastAsia" w:ascii="宋体" w:hAnsi="宋体"/>
                <w:szCs w:val="21"/>
              </w:rPr>
              <w:t>投标人质保期内的售后服务承诺、</w:t>
            </w:r>
            <w:r>
              <w:rPr>
                <w:rFonts w:hint="eastAsia" w:ascii="宋体" w:hAnsi="宋体"/>
                <w:bCs/>
                <w:szCs w:val="21"/>
              </w:rPr>
              <w:t>培训计划、</w:t>
            </w:r>
            <w:r>
              <w:rPr>
                <w:rFonts w:hint="eastAsia" w:ascii="宋体" w:hAnsi="宋体"/>
                <w:szCs w:val="21"/>
              </w:rPr>
              <w:t>质保期满后的售后服务方案及服务价格等方面进行综合评价</w:t>
            </w:r>
            <w:r>
              <w:rPr>
                <w:rFonts w:hint="eastAsia" w:ascii="宋体" w:hAnsi="宋体"/>
                <w:bCs/>
                <w:szCs w:val="21"/>
              </w:rPr>
              <w:t>，</w:t>
            </w:r>
            <w:r>
              <w:rPr>
                <w:rFonts w:hint="eastAsia" w:ascii="宋体" w:hAnsi="宋体" w:cs="宋体"/>
                <w:kern w:val="0"/>
                <w:szCs w:val="21"/>
              </w:rPr>
              <w:t>优秀得</w:t>
            </w:r>
            <w:r>
              <w:rPr>
                <w:rFonts w:ascii="宋体" w:hAnsi="宋体" w:cs="宋体"/>
                <w:kern w:val="0"/>
                <w:szCs w:val="21"/>
              </w:rPr>
              <w:t>5</w:t>
            </w:r>
            <w:r>
              <w:rPr>
                <w:rFonts w:hint="eastAsia" w:ascii="宋体" w:hAnsi="宋体" w:cs="宋体"/>
                <w:kern w:val="0"/>
                <w:szCs w:val="21"/>
              </w:rPr>
              <w:t>分，良好得</w:t>
            </w:r>
            <w:r>
              <w:rPr>
                <w:rFonts w:ascii="宋体" w:hAnsi="宋体"/>
                <w:szCs w:val="21"/>
              </w:rPr>
              <w:t>3</w:t>
            </w:r>
            <w:r>
              <w:rPr>
                <w:rFonts w:hint="eastAsia" w:ascii="宋体" w:hAnsi="宋体"/>
                <w:szCs w:val="21"/>
              </w:rPr>
              <w:t>-4分，一般得2-3分，</w:t>
            </w:r>
            <w:r>
              <w:rPr>
                <w:rFonts w:hint="eastAsia" w:ascii="宋体" w:hAnsi="宋体" w:cs="宋体"/>
                <w:kern w:val="0"/>
                <w:szCs w:val="21"/>
              </w:rPr>
              <w:t>差不得分。</w:t>
            </w:r>
          </w:p>
        </w:tc>
        <w:tc>
          <w:tcPr>
            <w:tcW w:w="580" w:type="dxa"/>
          </w:tcPr>
          <w:p>
            <w:pPr>
              <w:spacing w:line="360" w:lineRule="exact"/>
              <w:rPr>
                <w:rFonts w:ascii="宋体" w:cs="宋体"/>
                <w:kern w:val="0"/>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076" w:type="dxa"/>
            <w:vAlign w:val="center"/>
          </w:tcPr>
          <w:p>
            <w:pPr>
              <w:snapToGrid w:val="0"/>
              <w:spacing w:line="360" w:lineRule="exact"/>
              <w:jc w:val="center"/>
              <w:rPr>
                <w:rFonts w:ascii="宋体" w:cs="宋体"/>
                <w:b/>
                <w:kern w:val="0"/>
                <w:szCs w:val="21"/>
              </w:rPr>
            </w:pPr>
            <w:r>
              <w:rPr>
                <w:rFonts w:hint="eastAsia" w:ascii="宋体" w:hAnsi="宋体" w:cs="宋体"/>
                <w:b/>
                <w:kern w:val="0"/>
                <w:szCs w:val="21"/>
              </w:rPr>
              <w:t>总分</w:t>
            </w:r>
          </w:p>
        </w:tc>
        <w:tc>
          <w:tcPr>
            <w:tcW w:w="772" w:type="dxa"/>
            <w:vAlign w:val="center"/>
          </w:tcPr>
          <w:p>
            <w:pPr>
              <w:spacing w:line="360" w:lineRule="exact"/>
              <w:jc w:val="center"/>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=SUM(ABOVE) </w:instrText>
            </w:r>
            <w:r>
              <w:rPr>
                <w:rFonts w:ascii="宋体" w:hAnsi="宋体" w:cs="宋体"/>
                <w:kern w:val="0"/>
                <w:szCs w:val="21"/>
              </w:rPr>
              <w:fldChar w:fldCharType="separate"/>
            </w:r>
            <w:r>
              <w:rPr>
                <w:rFonts w:ascii="宋体" w:hAnsi="宋体" w:cs="宋体"/>
                <w:kern w:val="0"/>
                <w:szCs w:val="21"/>
              </w:rPr>
              <w:t>100</w:t>
            </w:r>
            <w:r>
              <w:rPr>
                <w:rFonts w:ascii="宋体" w:hAnsi="宋体" w:cs="宋体"/>
                <w:kern w:val="0"/>
                <w:szCs w:val="21"/>
              </w:rPr>
              <w:fldChar w:fldCharType="end"/>
            </w:r>
          </w:p>
        </w:tc>
        <w:tc>
          <w:tcPr>
            <w:tcW w:w="6175" w:type="dxa"/>
            <w:vAlign w:val="center"/>
          </w:tcPr>
          <w:p>
            <w:pPr>
              <w:widowControl/>
              <w:spacing w:line="360" w:lineRule="exact"/>
              <w:rPr>
                <w:rFonts w:ascii="宋体"/>
                <w:szCs w:val="21"/>
              </w:rPr>
            </w:pPr>
          </w:p>
        </w:tc>
        <w:tc>
          <w:tcPr>
            <w:tcW w:w="580" w:type="dxa"/>
            <w:vAlign w:val="center"/>
          </w:tcPr>
          <w:p>
            <w:pPr>
              <w:spacing w:line="360" w:lineRule="exact"/>
              <w:rPr>
                <w:rFonts w:ascii="宋体" w:cs="宋体"/>
                <w:szCs w:val="21"/>
              </w:rPr>
            </w:pPr>
          </w:p>
        </w:tc>
      </w:tr>
    </w:tbl>
    <w:p>
      <w:pPr>
        <w:widowControl/>
        <w:spacing w:line="440" w:lineRule="exact"/>
        <w:rPr>
          <w:rFonts w:ascii="Arial" w:hAnsi="Arial" w:cs="Arial"/>
          <w:color w:val="000000"/>
          <w:kern w:val="0"/>
          <w:sz w:val="24"/>
          <w:szCs w:val="24"/>
        </w:rPr>
      </w:pPr>
    </w:p>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w:t>
      </w:r>
      <w:r>
        <w:rPr>
          <w:rFonts w:hint="eastAsia" w:ascii="宋体" w:hAnsi="宋体" w:cs="宋体"/>
          <w:b/>
          <w:kern w:val="0"/>
          <w:sz w:val="24"/>
          <w:lang w:val="zh-CN"/>
        </w:rPr>
        <w:t>实质性要求是指本招标文件中用带星号（“</w:t>
      </w:r>
      <w:r>
        <w:rPr>
          <w:rFonts w:hint="eastAsia" w:ascii="宋体" w:cs="宋体"/>
          <w:b/>
          <w:kern w:val="0"/>
          <w:sz w:val="24"/>
          <w:lang w:val="zh-CN"/>
        </w:rPr>
        <w:t>★</w:t>
      </w:r>
      <w:r>
        <w:rPr>
          <w:rFonts w:hint="eastAsia" w:ascii="宋体" w:hAnsi="宋体" w:cs="宋体"/>
          <w:b/>
          <w:kern w:val="0"/>
          <w:sz w:val="24"/>
          <w:lang w:val="zh-CN"/>
        </w:rPr>
        <w:t>”）的商务和技术要求。如果投标文件实质上没有响应招标文件的要求，评委会可作无效投标处理。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）经</w:t>
      </w:r>
      <w:r>
        <w:rPr>
          <w:rFonts w:ascii="宋体" w:hAnsi="宋体" w:cs="宋体"/>
          <w:color w:val="000000"/>
          <w:kern w:val="0"/>
          <w:sz w:val="24"/>
        </w:rPr>
        <w:t>2/3</w:t>
      </w:r>
      <w:r>
        <w:rPr>
          <w:rFonts w:hint="eastAsia" w:ascii="宋体" w:hAnsi="宋体" w:cs="宋体"/>
          <w:color w:val="000000"/>
          <w:kern w:val="0"/>
          <w:sz w:val="24"/>
        </w:rPr>
        <w:t>以上评委认定投标品牌档次低于采购人推荐品牌档次的；</w:t>
      </w:r>
    </w:p>
    <w:p>
      <w:pPr>
        <w:widowControl/>
        <w:spacing w:line="440" w:lineRule="exact"/>
        <w:ind w:firstLine="480" w:firstLineChars="200"/>
        <w:jc w:val="left"/>
        <w:rPr>
          <w:rFonts w:ascii="宋体" w:cs="宋体"/>
          <w:sz w:val="24"/>
        </w:rPr>
      </w:pPr>
      <w:r>
        <w:rPr>
          <w:rFonts w:hint="eastAsia" w:ascii="宋体" w:hAnsi="宋体" w:cs="宋体"/>
          <w:color w:val="000000"/>
          <w:kern w:val="0"/>
          <w:sz w:val="24"/>
        </w:rPr>
        <w:t>（</w:t>
      </w:r>
      <w:r>
        <w:rPr>
          <w:rFonts w:ascii="宋体" w:hAnsi="宋体" w:cs="宋体"/>
          <w:color w:val="000000"/>
          <w:kern w:val="0"/>
          <w:sz w:val="24"/>
        </w:rPr>
        <w:t>18</w:t>
      </w:r>
      <w:r>
        <w:rPr>
          <w:rFonts w:hint="eastAsia" w:ascii="宋体" w:hAnsi="宋体" w:cs="宋体"/>
          <w:color w:val="000000"/>
          <w:kern w:val="0"/>
          <w:sz w:val="24"/>
        </w:rPr>
        <w:t>）</w:t>
      </w:r>
      <w:r>
        <w:rPr>
          <w:rFonts w:hint="eastAsia" w:ascii="宋体" w:hAnsi="宋体" w:cs="宋体"/>
          <w:kern w:val="0"/>
          <w:sz w:val="24"/>
        </w:rPr>
        <w:t>加</w:t>
      </w:r>
      <w:r>
        <w:rPr>
          <w:rFonts w:hint="eastAsia" w:ascii="宋体" w:hAnsi="宋体" w:cs="宋体"/>
          <w:sz w:val="24"/>
        </w:rPr>
        <w:t>“★”的技术指标为负偏离的或有</w:t>
      </w:r>
      <w:r>
        <w:rPr>
          <w:rFonts w:ascii="宋体" w:hAnsi="宋体" w:cs="宋体"/>
          <w:sz w:val="24"/>
        </w:rPr>
        <w:t>3</w:t>
      </w:r>
      <w:r>
        <w:rPr>
          <w:rFonts w:hint="eastAsia" w:ascii="宋体" w:hAnsi="宋体" w:cs="宋体"/>
          <w:sz w:val="24"/>
        </w:rPr>
        <w:t>项未加“★”的技术指标为负偏离的；</w:t>
      </w:r>
    </w:p>
    <w:p>
      <w:pPr>
        <w:widowControl/>
        <w:spacing w:line="440" w:lineRule="exact"/>
        <w:ind w:firstLine="480" w:firstLineChars="200"/>
        <w:jc w:val="left"/>
        <w:rPr>
          <w:rFonts w:ascii="宋体" w:cs="宋体"/>
          <w:sz w:val="24"/>
        </w:rPr>
      </w:pPr>
      <w:r>
        <w:rPr>
          <w:rFonts w:hint="eastAsia" w:ascii="宋体" w:hAnsi="宋体" w:cs="宋体"/>
          <w:color w:val="000000"/>
          <w:sz w:val="24"/>
        </w:rPr>
        <w:t>（</w:t>
      </w:r>
      <w:r>
        <w:rPr>
          <w:rFonts w:ascii="宋体" w:hAnsi="宋体" w:cs="宋体"/>
          <w:color w:val="000000"/>
          <w:sz w:val="24"/>
        </w:rPr>
        <w:t>19</w:t>
      </w:r>
      <w:r>
        <w:rPr>
          <w:rFonts w:hint="eastAsia" w:ascii="宋体" w:hAnsi="宋体" w:cs="宋体"/>
          <w:sz w:val="24"/>
        </w:rPr>
        <w:t>）技术得分低于该项目分值</w:t>
      </w:r>
      <w:r>
        <w:rPr>
          <w:rFonts w:ascii="宋体" w:hAnsi="宋体" w:cs="宋体"/>
          <w:sz w:val="24"/>
        </w:rPr>
        <w:t>60%</w:t>
      </w:r>
      <w:r>
        <w:rPr>
          <w:rFonts w:hint="eastAsia" w:ascii="宋体" w:hAnsi="宋体" w:cs="宋体"/>
          <w:sz w:val="24"/>
        </w:rPr>
        <w:t>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9"/>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为保证合同的顺利执行，中标供应商必须在领取中标通知书之前，向采购人提交金额为中标</w:t>
      </w:r>
      <w:r>
        <w:rPr>
          <w:rFonts w:hint="eastAsia" w:ascii="宋体" w:hAnsi="宋体"/>
          <w:color w:val="auto"/>
          <w:sz w:val="24"/>
          <w:szCs w:val="24"/>
        </w:rPr>
        <w:t>总价</w:t>
      </w:r>
      <w:r>
        <w:rPr>
          <w:color w:val="auto"/>
          <w:sz w:val="24"/>
          <w:szCs w:val="24"/>
        </w:rPr>
        <w:t>2%的履约保证金</w:t>
      </w:r>
      <w:r>
        <w:rPr>
          <w:rFonts w:hint="eastAsia" w:ascii="宋体" w:hAnsi="宋体"/>
          <w:color w:val="auto"/>
          <w:sz w:val="24"/>
          <w:szCs w:val="24"/>
        </w:rPr>
        <w:t>。已交</w:t>
      </w:r>
      <w:r>
        <w:rPr>
          <w:rFonts w:hint="eastAsia" w:ascii="宋体" w:hAnsi="宋体"/>
          <w:sz w:val="24"/>
          <w:szCs w:val="24"/>
        </w:rPr>
        <w:t>纳的投标保证金自动转为合同履约保证金，并补齐不足部分。</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w:t>
      </w:r>
      <w:r>
        <w:rPr>
          <w:rFonts w:hint="eastAsia" w:ascii="Times New Roman" w:hAnsi="Times New Roman"/>
          <w:color w:val="auto"/>
        </w:rPr>
        <w:t>采购人可以与中标人协商签订补充合同，追加量不得超过合同总额的</w:t>
      </w:r>
      <w:r>
        <w:rPr>
          <w:rFonts w:ascii="Times New Roman" w:hAnsi="Times New Roman"/>
          <w:color w:val="auto"/>
        </w:rPr>
        <w:t>10%</w:t>
      </w:r>
      <w:r>
        <w:rPr>
          <w:rFonts w:hint="eastAsia" w:ascii="Times New Roman" w:hAnsi="Times New Roman"/>
          <w:color w:val="auto"/>
        </w:rPr>
        <w:t>。</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技术联系人：茅老师，联系电话：</w:t>
      </w:r>
      <w:r>
        <w:rPr>
          <w:color w:val="000000"/>
          <w:sz w:val="24"/>
        </w:rPr>
        <w:t>0517</w:t>
      </w:r>
      <w:r>
        <w:rPr>
          <w:rFonts w:hint="eastAsia"/>
          <w:color w:val="000000"/>
          <w:sz w:val="24"/>
        </w:rPr>
        <w:t>-</w:t>
      </w:r>
      <w:r>
        <w:rPr>
          <w:color w:val="000000"/>
          <w:sz w:val="24"/>
        </w:rPr>
        <w:t>83591130</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招标办联系人：王老师、董老师，联系电话：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auto"/>
          <w:sz w:val="24"/>
        </w:rPr>
      </w:pPr>
      <w:bookmarkStart w:id="2" w:name="_GoBack"/>
    </w:p>
    <w:p>
      <w:pPr>
        <w:widowControl/>
        <w:spacing w:line="440" w:lineRule="exact"/>
        <w:ind w:firstLine="4995" w:firstLineChars="1850"/>
        <w:rPr>
          <w:color w:val="auto"/>
          <w:spacing w:val="15"/>
          <w:kern w:val="0"/>
          <w:sz w:val="24"/>
        </w:rPr>
      </w:pPr>
      <w:r>
        <w:rPr>
          <w:rFonts w:hint="eastAsia"/>
          <w:color w:val="auto"/>
          <w:spacing w:val="15"/>
          <w:kern w:val="0"/>
          <w:sz w:val="24"/>
        </w:rPr>
        <w:t>淮阴工学院招投标办公室</w:t>
      </w:r>
    </w:p>
    <w:p>
      <w:pPr>
        <w:widowControl/>
        <w:spacing w:line="440" w:lineRule="exact"/>
        <w:ind w:firstLine="5535" w:firstLineChars="2050"/>
        <w:rPr>
          <w:color w:val="auto"/>
          <w:spacing w:val="15"/>
          <w:kern w:val="0"/>
          <w:sz w:val="24"/>
        </w:rPr>
      </w:pPr>
      <w:r>
        <w:rPr>
          <w:color w:val="auto"/>
          <w:spacing w:val="15"/>
          <w:kern w:val="0"/>
          <w:sz w:val="24"/>
        </w:rPr>
        <w:t>2019</w:t>
      </w:r>
      <w:r>
        <w:rPr>
          <w:rFonts w:hint="eastAsia"/>
          <w:color w:val="auto"/>
          <w:spacing w:val="15"/>
          <w:kern w:val="0"/>
          <w:sz w:val="24"/>
        </w:rPr>
        <w:t>年</w:t>
      </w:r>
      <w:r>
        <w:rPr>
          <w:color w:val="auto"/>
          <w:spacing w:val="15"/>
          <w:kern w:val="0"/>
          <w:sz w:val="24"/>
        </w:rPr>
        <w:t>5</w:t>
      </w:r>
      <w:r>
        <w:rPr>
          <w:rFonts w:hint="eastAsia"/>
          <w:color w:val="auto"/>
          <w:spacing w:val="15"/>
          <w:kern w:val="0"/>
          <w:sz w:val="24"/>
        </w:rPr>
        <w:t>月</w:t>
      </w:r>
      <w:r>
        <w:rPr>
          <w:rFonts w:hint="eastAsia"/>
          <w:color w:val="auto"/>
          <w:spacing w:val="15"/>
          <w:kern w:val="0"/>
          <w:sz w:val="24"/>
          <w:lang w:val="en-US" w:eastAsia="zh-CN"/>
        </w:rPr>
        <w:t>29</w:t>
      </w:r>
      <w:r>
        <w:rPr>
          <w:rFonts w:hint="eastAsia"/>
          <w:color w:val="auto"/>
          <w:spacing w:val="15"/>
          <w:kern w:val="0"/>
          <w:sz w:val="24"/>
        </w:rPr>
        <w:t>日</w:t>
      </w:r>
    </w:p>
    <w:bookmarkEnd w:id="2"/>
    <w:p>
      <w:pPr>
        <w:spacing w:line="440" w:lineRule="exact"/>
        <w:jc w:val="center"/>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项目采购需求</w:t>
      </w:r>
    </w:p>
    <w:p>
      <w:pPr>
        <w:ind w:firstLine="440"/>
        <w:rPr>
          <w:color w:val="000000"/>
          <w:sz w:val="24"/>
          <w:szCs w:val="24"/>
        </w:rPr>
      </w:pPr>
    </w:p>
    <w:p>
      <w:pPr>
        <w:ind w:firstLine="440"/>
        <w:rPr>
          <w:color w:val="000000"/>
          <w:sz w:val="24"/>
          <w:szCs w:val="24"/>
        </w:rPr>
      </w:pPr>
      <w:r>
        <w:rPr>
          <w:rFonts w:hint="eastAsia"/>
          <w:color w:val="000000"/>
          <w:sz w:val="24"/>
          <w:szCs w:val="24"/>
        </w:rPr>
        <w:t>一、采购清单</w:t>
      </w:r>
    </w:p>
    <w:tbl>
      <w:tblPr>
        <w:tblStyle w:val="11"/>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676"/>
        <w:gridCol w:w="2349"/>
        <w:gridCol w:w="675"/>
        <w:gridCol w:w="675"/>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标段</w:t>
            </w:r>
          </w:p>
        </w:tc>
        <w:tc>
          <w:tcPr>
            <w:tcW w:w="6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序号</w:t>
            </w:r>
          </w:p>
        </w:tc>
        <w:tc>
          <w:tcPr>
            <w:tcW w:w="23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设备名称</w:t>
            </w:r>
          </w:p>
        </w:tc>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单位</w:t>
            </w:r>
          </w:p>
        </w:tc>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数量</w:t>
            </w:r>
          </w:p>
        </w:tc>
        <w:tc>
          <w:tcPr>
            <w:tcW w:w="33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left w:val="single" w:color="auto" w:sz="4" w:space="0"/>
              <w:right w:val="single" w:color="auto" w:sz="4" w:space="0"/>
            </w:tcBorders>
            <w:vAlign w:val="center"/>
          </w:tcPr>
          <w:p>
            <w:pPr>
              <w:spacing w:line="440" w:lineRule="exact"/>
              <w:jc w:val="center"/>
              <w:rPr>
                <w:sz w:val="24"/>
                <w:szCs w:val="24"/>
              </w:rPr>
            </w:pPr>
            <w:r>
              <w:rPr>
                <w:rFonts w:hint="eastAsia"/>
                <w:sz w:val="24"/>
                <w:szCs w:val="24"/>
              </w:rPr>
              <w:t>一</w:t>
            </w:r>
          </w:p>
        </w:tc>
        <w:tc>
          <w:tcPr>
            <w:tcW w:w="6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sz w:val="24"/>
                <w:szCs w:val="24"/>
              </w:rPr>
              <w:t>1</w:t>
            </w:r>
          </w:p>
        </w:tc>
        <w:tc>
          <w:tcPr>
            <w:tcW w:w="23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振荡培养箱</w:t>
            </w:r>
          </w:p>
        </w:tc>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台</w:t>
            </w:r>
          </w:p>
        </w:tc>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6</w:t>
            </w:r>
          </w:p>
        </w:tc>
        <w:tc>
          <w:tcPr>
            <w:tcW w:w="3330" w:type="dxa"/>
            <w:tcBorders>
              <w:top w:val="single" w:color="auto" w:sz="4" w:space="0"/>
              <w:left w:val="single" w:color="auto" w:sz="4" w:space="0"/>
              <w:right w:val="single" w:color="auto" w:sz="4" w:space="0"/>
            </w:tcBorders>
            <w:vAlign w:val="center"/>
          </w:tcPr>
          <w:p>
            <w:pPr>
              <w:spacing w:line="440" w:lineRule="exact"/>
              <w:jc w:val="center"/>
              <w:rPr>
                <w:sz w:val="24"/>
                <w:szCs w:val="24"/>
              </w:rPr>
            </w:pPr>
            <w:r>
              <w:rPr>
                <w:rFonts w:hint="eastAsia"/>
                <w:sz w:val="24"/>
                <w:szCs w:val="24"/>
              </w:rPr>
              <w:t>科耐、知楚、固蓝特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二</w:t>
            </w:r>
          </w:p>
        </w:tc>
        <w:tc>
          <w:tcPr>
            <w:tcW w:w="6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2</w:t>
            </w:r>
          </w:p>
        </w:tc>
        <w:tc>
          <w:tcPr>
            <w:tcW w:w="23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氮气发生器</w:t>
            </w:r>
          </w:p>
        </w:tc>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台</w:t>
            </w:r>
          </w:p>
        </w:tc>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1</w:t>
            </w:r>
          </w:p>
        </w:tc>
        <w:tc>
          <w:tcPr>
            <w:tcW w:w="33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普立泰科、上海全浦、上海析维</w:t>
            </w:r>
          </w:p>
        </w:tc>
      </w:tr>
    </w:tbl>
    <w:p>
      <w:pPr>
        <w:ind w:firstLine="440"/>
        <w:rPr>
          <w:color w:val="000000"/>
          <w:sz w:val="24"/>
          <w:szCs w:val="24"/>
        </w:rPr>
      </w:pPr>
    </w:p>
    <w:p>
      <w:pPr>
        <w:spacing w:line="360" w:lineRule="auto"/>
        <w:ind w:firstLine="470" w:firstLineChars="196"/>
        <w:rPr>
          <w:color w:val="000000"/>
          <w:sz w:val="24"/>
          <w:lang w:val="zh-CN"/>
        </w:rPr>
      </w:pPr>
      <w:r>
        <w:rPr>
          <w:color w:val="000000"/>
          <w:sz w:val="24"/>
          <w:lang w:val="zh-CN"/>
        </w:rPr>
        <w:t>二、技术参数与性能要求</w:t>
      </w:r>
    </w:p>
    <w:tbl>
      <w:tblPr>
        <w:tblStyle w:val="11"/>
        <w:tblW w:w="9112" w:type="dxa"/>
        <w:jc w:val="center"/>
        <w:tblInd w:w="0" w:type="dxa"/>
        <w:tblLayout w:type="fixed"/>
        <w:tblCellMar>
          <w:top w:w="0" w:type="dxa"/>
          <w:left w:w="108" w:type="dxa"/>
          <w:bottom w:w="0" w:type="dxa"/>
          <w:right w:w="108" w:type="dxa"/>
        </w:tblCellMar>
      </w:tblPr>
      <w:tblGrid>
        <w:gridCol w:w="456"/>
        <w:gridCol w:w="456"/>
        <w:gridCol w:w="8200"/>
      </w:tblGrid>
      <w:tr>
        <w:tblPrEx>
          <w:tblLayout w:type="fixed"/>
          <w:tblCellMar>
            <w:top w:w="0" w:type="dxa"/>
            <w:left w:w="108" w:type="dxa"/>
            <w:bottom w:w="0" w:type="dxa"/>
            <w:right w:w="108" w:type="dxa"/>
          </w:tblCellMar>
        </w:tblPrEx>
        <w:trPr>
          <w:trHeight w:val="29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序号</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设备名称</w:t>
            </w:r>
          </w:p>
        </w:tc>
        <w:tc>
          <w:tcPr>
            <w:tcW w:w="8200"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配置与性能要求</w:t>
            </w:r>
          </w:p>
        </w:tc>
      </w:tr>
      <w:tr>
        <w:tblPrEx>
          <w:tblLayout w:type="fixed"/>
          <w:tblCellMar>
            <w:top w:w="0" w:type="dxa"/>
            <w:left w:w="108" w:type="dxa"/>
            <w:bottom w:w="0" w:type="dxa"/>
            <w:right w:w="108" w:type="dxa"/>
          </w:tblCellMar>
        </w:tblPrEx>
        <w:trPr>
          <w:trHeight w:val="3322" w:hRule="atLeast"/>
          <w:jc w:val="center"/>
        </w:trPr>
        <w:tc>
          <w:tcPr>
            <w:tcW w:w="456" w:type="dxa"/>
            <w:tcBorders>
              <w:top w:val="nil"/>
              <w:left w:val="single" w:color="auto" w:sz="4" w:space="0"/>
              <w:bottom w:val="single" w:color="auto" w:sz="4" w:space="0"/>
              <w:right w:val="single" w:color="auto" w:sz="4" w:space="0"/>
            </w:tcBorders>
            <w:vAlign w:val="center"/>
          </w:tcPr>
          <w:p>
            <w:pPr>
              <w:rPr>
                <w:sz w:val="24"/>
              </w:rPr>
            </w:pPr>
            <w:r>
              <w:rPr>
                <w:sz w:val="24"/>
              </w:rPr>
              <w:t>1</w:t>
            </w:r>
          </w:p>
        </w:tc>
        <w:tc>
          <w:tcPr>
            <w:tcW w:w="456" w:type="dxa"/>
            <w:tcBorders>
              <w:top w:val="nil"/>
              <w:left w:val="single" w:color="auto" w:sz="4" w:space="0"/>
              <w:bottom w:val="single" w:color="auto" w:sz="4" w:space="0"/>
              <w:right w:val="single" w:color="auto" w:sz="4" w:space="0"/>
            </w:tcBorders>
            <w:vAlign w:val="center"/>
          </w:tcPr>
          <w:p>
            <w:pPr>
              <w:rPr>
                <w:sz w:val="24"/>
              </w:rPr>
            </w:pPr>
            <w:r>
              <w:rPr>
                <w:rFonts w:hint="eastAsia"/>
                <w:sz w:val="24"/>
                <w:szCs w:val="24"/>
              </w:rPr>
              <w:t>振荡培养箱</w:t>
            </w:r>
          </w:p>
        </w:tc>
        <w:tc>
          <w:tcPr>
            <w:tcW w:w="8200" w:type="dxa"/>
            <w:tcBorders>
              <w:top w:val="nil"/>
              <w:left w:val="nil"/>
              <w:bottom w:val="single" w:color="auto" w:sz="4" w:space="0"/>
              <w:right w:val="single" w:color="auto" w:sz="4" w:space="0"/>
            </w:tcBorders>
          </w:tcPr>
          <w:p>
            <w:pPr>
              <w:spacing w:line="360" w:lineRule="auto"/>
              <w:ind w:firstLine="360" w:firstLineChars="200"/>
              <w:rPr>
                <w:sz w:val="24"/>
                <w:lang w:val="zh-CN"/>
              </w:rPr>
            </w:pPr>
            <w:r>
              <w:rPr>
                <w:rFonts w:ascii="微软雅黑" w:hAnsi="微软雅黑" w:eastAsia="微软雅黑" w:cs="宋体"/>
                <w:kern w:val="0"/>
                <w:sz w:val="18"/>
                <w:szCs w:val="18"/>
              </w:rPr>
              <w:t xml:space="preserve"> </w:t>
            </w:r>
            <w:r>
              <w:rPr>
                <w:rFonts w:ascii="Segoe UI Symbol" w:hAnsi="Segoe UI Symbol" w:cs="Segoe UI Symbol"/>
                <w:sz w:val="24"/>
                <w:lang w:val="zh-CN"/>
              </w:rPr>
              <w:t>★</w:t>
            </w:r>
            <w:r>
              <w:rPr>
                <w:sz w:val="24"/>
                <w:lang w:val="zh-CN"/>
              </w:rPr>
              <w:t>1、配置要求：所投标的振荡培养箱</w:t>
            </w:r>
            <w:r>
              <w:rPr>
                <w:rFonts w:hint="eastAsia"/>
                <w:sz w:val="24"/>
                <w:lang w:val="zh-CN"/>
              </w:rPr>
              <w:t>必须</w:t>
            </w:r>
            <w:r>
              <w:rPr>
                <w:sz w:val="24"/>
                <w:lang w:val="zh-CN"/>
              </w:rPr>
              <w:t>为组合式三层设计</w:t>
            </w:r>
            <w:r>
              <w:rPr>
                <w:rFonts w:hint="eastAsia"/>
                <w:sz w:val="24"/>
                <w:lang w:val="zh-CN"/>
              </w:rPr>
              <w:t>并</w:t>
            </w:r>
            <w:r>
              <w:rPr>
                <w:sz w:val="24"/>
                <w:lang w:val="zh-CN"/>
              </w:rPr>
              <w:t>配备进口压缩机，除主机外，还须有必要配件若干。</w:t>
            </w:r>
          </w:p>
          <w:p>
            <w:pPr>
              <w:spacing w:line="360" w:lineRule="auto"/>
              <w:ind w:firstLine="480" w:firstLineChars="200"/>
              <w:rPr>
                <w:sz w:val="24"/>
                <w:lang w:val="zh-CN"/>
              </w:rPr>
            </w:pPr>
            <w:r>
              <w:rPr>
                <w:sz w:val="24"/>
                <w:lang w:val="zh-CN"/>
              </w:rPr>
              <w:t>2、技术参数与性能要求</w:t>
            </w:r>
          </w:p>
          <w:p>
            <w:pPr>
              <w:spacing w:line="360" w:lineRule="auto"/>
              <w:ind w:firstLine="480" w:firstLineChars="200"/>
              <w:rPr>
                <w:sz w:val="24"/>
                <w:lang w:val="zh-CN"/>
              </w:rPr>
            </w:pPr>
            <w:r>
              <w:rPr>
                <w:sz w:val="24"/>
                <w:lang w:val="zh-CN"/>
              </w:rPr>
              <w:t>2.1可定时（0～999.9 h），PID微电脑智能控温，LCD大屏幕背光液晶显示各项参数，操作界面可加密锁定。</w:t>
            </w:r>
          </w:p>
          <w:p>
            <w:pPr>
              <w:spacing w:line="360" w:lineRule="auto"/>
              <w:ind w:firstLine="480" w:firstLineChars="200"/>
              <w:rPr>
                <w:sz w:val="24"/>
                <w:lang w:val="zh-CN"/>
              </w:rPr>
            </w:pPr>
            <w:r>
              <w:rPr>
                <w:rFonts w:ascii="Segoe UI Symbol" w:hAnsi="Segoe UI Symbol" w:cs="Segoe UI Symbol"/>
                <w:sz w:val="24"/>
                <w:lang w:val="zh-CN"/>
              </w:rPr>
              <w:t>★</w:t>
            </w:r>
            <w:r>
              <w:rPr>
                <w:sz w:val="24"/>
                <w:lang w:val="zh-CN"/>
              </w:rPr>
              <w:t>2.2箱体采用整体发泡技术；产品内部采用R角设计；具有紫外线灭菌功能。</w:t>
            </w:r>
          </w:p>
          <w:p>
            <w:pPr>
              <w:spacing w:line="360" w:lineRule="auto"/>
              <w:ind w:firstLine="480" w:firstLineChars="200"/>
              <w:rPr>
                <w:sz w:val="24"/>
                <w:lang w:val="zh-CN"/>
              </w:rPr>
            </w:pPr>
            <w:r>
              <w:rPr>
                <w:sz w:val="24"/>
                <w:lang w:val="zh-CN"/>
              </w:rPr>
              <w:t>2.3具有超温报警功能及异常情况自动断电功能；具有断电后数据恢复功能；开门即停功能。</w:t>
            </w:r>
          </w:p>
          <w:p>
            <w:pPr>
              <w:spacing w:line="360" w:lineRule="auto"/>
              <w:ind w:firstLine="480" w:firstLineChars="200"/>
              <w:rPr>
                <w:sz w:val="24"/>
                <w:lang w:val="zh-CN"/>
              </w:rPr>
            </w:pPr>
            <w:r>
              <w:rPr>
                <w:sz w:val="24"/>
                <w:lang w:val="zh-CN"/>
              </w:rPr>
              <w:t>2.4使用中空钢化玻璃门和耐腐蚀的镜面不锈钢内衬，外壳采用静电喷塑，侧面具有透气孔。</w:t>
            </w:r>
          </w:p>
          <w:p>
            <w:pPr>
              <w:spacing w:line="360" w:lineRule="auto"/>
              <w:ind w:firstLine="480" w:firstLineChars="200"/>
              <w:rPr>
                <w:sz w:val="24"/>
                <w:lang w:val="zh-CN"/>
              </w:rPr>
            </w:pPr>
            <w:r>
              <w:rPr>
                <w:rFonts w:ascii="Segoe UI Symbol" w:hAnsi="Segoe UI Symbol" w:cs="Segoe UI Symbol"/>
                <w:sz w:val="24"/>
                <w:lang w:val="zh-CN"/>
              </w:rPr>
              <w:t>★</w:t>
            </w:r>
            <w:r>
              <w:rPr>
                <w:sz w:val="24"/>
                <w:lang w:val="zh-CN"/>
              </w:rPr>
              <w:t>2.5每层的温度、转速等参数可独立控制，可任意选择运转层数。</w:t>
            </w:r>
          </w:p>
          <w:p>
            <w:pPr>
              <w:spacing w:line="360" w:lineRule="auto"/>
              <w:ind w:firstLine="480" w:firstLineChars="200"/>
              <w:rPr>
                <w:sz w:val="24"/>
                <w:lang w:val="zh-CN"/>
              </w:rPr>
            </w:pPr>
            <w:r>
              <w:rPr>
                <w:rFonts w:ascii="Segoe UI Symbol" w:hAnsi="Segoe UI Symbol" w:cs="Segoe UI Symbol"/>
                <w:sz w:val="24"/>
                <w:lang w:val="zh-CN"/>
              </w:rPr>
              <w:t>★</w:t>
            </w:r>
            <w:r>
              <w:rPr>
                <w:sz w:val="24"/>
                <w:lang w:val="zh-CN"/>
              </w:rPr>
              <w:t>2.6摇板采用活动式设计，可自由抽出；摇板处拧手材质为304不锈钢；具备防水设计，内置增湿盘，托盘底部可直接用水冲洗。</w:t>
            </w:r>
          </w:p>
          <w:p>
            <w:pPr>
              <w:spacing w:line="360" w:lineRule="auto"/>
              <w:ind w:firstLine="480" w:firstLineChars="200"/>
              <w:rPr>
                <w:sz w:val="24"/>
                <w:lang w:val="zh-CN"/>
              </w:rPr>
            </w:pPr>
            <w:r>
              <w:rPr>
                <w:rFonts w:ascii="Segoe UI Symbol" w:hAnsi="Segoe UI Symbol" w:cs="Segoe UI Symbol"/>
                <w:sz w:val="24"/>
                <w:lang w:val="zh-CN"/>
              </w:rPr>
              <w:t>★</w:t>
            </w:r>
            <w:r>
              <w:rPr>
                <w:sz w:val="24"/>
                <w:lang w:val="zh-CN"/>
              </w:rPr>
              <w:t>2.7配备</w:t>
            </w:r>
            <w:r>
              <w:rPr>
                <w:b/>
                <w:sz w:val="24"/>
                <w:lang w:val="zh-CN"/>
              </w:rPr>
              <w:t>高质伺服电机</w:t>
            </w:r>
            <w:r>
              <w:rPr>
                <w:sz w:val="24"/>
                <w:lang w:val="zh-CN"/>
              </w:rPr>
              <w:t>；配有滤波器和磁环可抗内部配件及外部仪器干扰。</w:t>
            </w:r>
          </w:p>
          <w:p>
            <w:pPr>
              <w:spacing w:line="360" w:lineRule="auto"/>
              <w:ind w:firstLine="480" w:firstLineChars="200"/>
              <w:rPr>
                <w:sz w:val="24"/>
                <w:lang w:val="zh-CN"/>
              </w:rPr>
            </w:pPr>
            <w:r>
              <w:rPr>
                <w:sz w:val="24"/>
                <w:lang w:val="zh-CN"/>
              </w:rPr>
              <w:t>2.8 振荡频率10-350rpm，温控范围4-60℃，温度调节精度±0.1℃。</w:t>
            </w:r>
          </w:p>
          <w:p>
            <w:pPr>
              <w:spacing w:line="360" w:lineRule="auto"/>
              <w:ind w:firstLine="480" w:firstLineChars="200"/>
              <w:rPr>
                <w:sz w:val="24"/>
                <w:lang w:val="zh-CN"/>
              </w:rPr>
            </w:pPr>
            <w:r>
              <w:rPr>
                <w:rFonts w:ascii="Segoe UI Symbol" w:hAnsi="Segoe UI Symbol" w:cs="Segoe UI Symbol"/>
                <w:sz w:val="24"/>
                <w:lang w:val="zh-CN"/>
              </w:rPr>
              <w:t>★</w:t>
            </w:r>
            <w:r>
              <w:rPr>
                <w:sz w:val="24"/>
                <w:lang w:val="zh-CN"/>
              </w:rPr>
              <w:t>2.9温度均匀度±0.8℃。</w:t>
            </w:r>
          </w:p>
          <w:p>
            <w:pPr>
              <w:spacing w:line="360" w:lineRule="auto"/>
              <w:ind w:firstLine="480" w:firstLineChars="200"/>
              <w:rPr>
                <w:sz w:val="24"/>
                <w:lang w:val="zh-CN"/>
              </w:rPr>
            </w:pPr>
            <w:r>
              <w:rPr>
                <w:rFonts w:ascii="Segoe UI Symbol" w:hAnsi="Segoe UI Symbol" w:cs="Segoe UI Symbol"/>
                <w:sz w:val="24"/>
                <w:lang w:val="zh-CN"/>
              </w:rPr>
              <w:t>★</w:t>
            </w:r>
            <w:r>
              <w:rPr>
                <w:sz w:val="24"/>
                <w:lang w:val="zh-CN"/>
              </w:rPr>
              <w:t>2.10单层最大容量为250ml×30或500ml×20或1000ml×12或2000ml×8个；</w:t>
            </w:r>
            <w:r>
              <w:rPr>
                <w:b/>
                <w:sz w:val="24"/>
                <w:lang w:val="zh-CN"/>
              </w:rPr>
              <w:t>三角瓶夹具须为一次性成型塑胶夹具；</w:t>
            </w:r>
            <w:r>
              <w:rPr>
                <w:sz w:val="24"/>
                <w:lang w:val="zh-CN"/>
              </w:rPr>
              <w:t>试管夹具孔带有橡胶防护套（用以防止划伤和减震）；可选配</w:t>
            </w:r>
            <w:r>
              <w:rPr>
                <w:rFonts w:hint="eastAsia"/>
                <w:sz w:val="24"/>
                <w:lang w:val="zh-CN"/>
              </w:rPr>
              <w:t>摇床</w:t>
            </w:r>
            <w:r>
              <w:rPr>
                <w:sz w:val="24"/>
                <w:lang w:val="zh-CN"/>
              </w:rPr>
              <w:t>粘板。</w:t>
            </w:r>
          </w:p>
        </w:tc>
      </w:tr>
      <w:tr>
        <w:tblPrEx>
          <w:tblLayout w:type="fixed"/>
          <w:tblCellMar>
            <w:top w:w="0" w:type="dxa"/>
            <w:left w:w="108" w:type="dxa"/>
            <w:bottom w:w="0" w:type="dxa"/>
            <w:right w:w="108" w:type="dxa"/>
          </w:tblCellMar>
        </w:tblPrEx>
        <w:trPr>
          <w:trHeight w:val="4946"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szCs w:val="24"/>
              </w:rPr>
              <w:t>氮气发生器</w:t>
            </w:r>
          </w:p>
        </w:tc>
        <w:tc>
          <w:tcPr>
            <w:tcW w:w="8200" w:type="dxa"/>
            <w:tcBorders>
              <w:top w:val="single" w:color="auto" w:sz="4" w:space="0"/>
              <w:left w:val="nil"/>
              <w:bottom w:val="single" w:color="auto" w:sz="4" w:space="0"/>
              <w:right w:val="single" w:color="auto" w:sz="4" w:space="0"/>
            </w:tcBorders>
          </w:tcPr>
          <w:p>
            <w:pPr>
              <w:spacing w:line="360" w:lineRule="auto"/>
              <w:ind w:firstLine="470" w:firstLineChars="196"/>
              <w:rPr>
                <w:sz w:val="24"/>
                <w:lang w:val="zh-CN"/>
              </w:rPr>
            </w:pPr>
            <w:r>
              <w:rPr>
                <w:rFonts w:ascii="Segoe UI Symbol" w:hAnsi="Segoe UI Symbol" w:cs="Segoe UI Symbol"/>
                <w:sz w:val="24"/>
                <w:lang w:val="zh-CN"/>
              </w:rPr>
              <w:t>★</w:t>
            </w:r>
            <w:r>
              <w:rPr>
                <w:sz w:val="24"/>
                <w:lang w:val="zh-CN"/>
              </w:rPr>
              <w:t xml:space="preserve">1、仪器基本功能：专门用作氮吹仪的氮气气源，须充分满足氮吹的大流量、持续、安全运行要求。 </w:t>
            </w:r>
          </w:p>
          <w:p>
            <w:pPr>
              <w:spacing w:line="360" w:lineRule="auto"/>
              <w:ind w:firstLine="470" w:firstLineChars="196"/>
              <w:rPr>
                <w:sz w:val="24"/>
                <w:lang w:val="zh-CN"/>
              </w:rPr>
            </w:pPr>
            <w:r>
              <w:rPr>
                <w:sz w:val="24"/>
                <w:lang w:val="zh-CN"/>
              </w:rPr>
              <w:t>2、技术参数与性能要求</w:t>
            </w:r>
          </w:p>
          <w:p>
            <w:pPr>
              <w:spacing w:line="360" w:lineRule="auto"/>
              <w:ind w:firstLine="470" w:firstLineChars="196"/>
              <w:rPr>
                <w:sz w:val="24"/>
                <w:lang w:val="zh-CN"/>
              </w:rPr>
            </w:pPr>
            <w:r>
              <w:rPr>
                <w:rFonts w:ascii="Segoe UI Symbol" w:hAnsi="Segoe UI Symbol" w:cs="Segoe UI Symbol"/>
                <w:sz w:val="24"/>
                <w:lang w:val="zh-CN"/>
              </w:rPr>
              <w:t>★</w:t>
            </w:r>
            <w:r>
              <w:rPr>
                <w:sz w:val="24"/>
                <w:lang w:val="zh-CN"/>
              </w:rPr>
              <w:t>2.1采用超细化中空纤维膜分离技术，膜分离器采用螺旋卷式分离结构；</w:t>
            </w:r>
          </w:p>
          <w:p>
            <w:pPr>
              <w:spacing w:line="360" w:lineRule="auto"/>
              <w:ind w:firstLine="470" w:firstLineChars="196"/>
              <w:rPr>
                <w:sz w:val="24"/>
                <w:lang w:val="zh-CN"/>
              </w:rPr>
            </w:pPr>
            <w:r>
              <w:rPr>
                <w:rFonts w:ascii="Segoe UI Symbol" w:hAnsi="Segoe UI Symbol" w:cs="Segoe UI Symbol"/>
                <w:sz w:val="24"/>
                <w:lang w:val="zh-CN"/>
              </w:rPr>
              <w:t>★</w:t>
            </w:r>
            <w:r>
              <w:rPr>
                <w:sz w:val="24"/>
                <w:lang w:val="zh-CN"/>
              </w:rPr>
              <w:t>2.2 输出压力≥100psi/6.89bar，能够完全满足多级质谱气源要求；氮气流速范围0-30L/min，纯度≥95％；</w:t>
            </w:r>
          </w:p>
          <w:p>
            <w:pPr>
              <w:spacing w:line="360" w:lineRule="auto"/>
              <w:ind w:firstLine="470" w:firstLineChars="196"/>
              <w:rPr>
                <w:sz w:val="24"/>
                <w:lang w:val="zh-CN"/>
              </w:rPr>
            </w:pPr>
            <w:r>
              <w:rPr>
                <w:rFonts w:ascii="Segoe UI Symbol" w:hAnsi="Segoe UI Symbol" w:cs="Segoe UI Symbol"/>
                <w:sz w:val="24"/>
                <w:lang w:val="zh-CN"/>
              </w:rPr>
              <w:t>★</w:t>
            </w:r>
            <w:r>
              <w:rPr>
                <w:sz w:val="24"/>
                <w:lang w:val="zh-CN"/>
              </w:rPr>
              <w:t>2.3仪器内置进口空气压缩机集成的超空压系统，总产气量≥180L/min；</w:t>
            </w:r>
          </w:p>
          <w:p>
            <w:pPr>
              <w:spacing w:line="360" w:lineRule="auto"/>
              <w:ind w:firstLine="470" w:firstLineChars="196"/>
              <w:rPr>
                <w:sz w:val="24"/>
                <w:lang w:val="zh-CN"/>
              </w:rPr>
            </w:pPr>
            <w:r>
              <w:rPr>
                <w:rFonts w:ascii="Segoe UI Symbol" w:hAnsi="Segoe UI Symbol" w:cs="Segoe UI Symbol"/>
                <w:sz w:val="24"/>
                <w:lang w:val="zh-CN"/>
              </w:rPr>
              <w:t>★</w:t>
            </w:r>
            <w:r>
              <w:rPr>
                <w:sz w:val="24"/>
                <w:lang w:val="zh-CN"/>
              </w:rPr>
              <w:t>2.4 内置进口的冷冻式干燥机，具有</w:t>
            </w:r>
            <w:r>
              <w:rPr>
                <w:rFonts w:hint="eastAsia"/>
                <w:sz w:val="24"/>
                <w:lang w:val="zh-CN"/>
              </w:rPr>
              <w:t>较高</w:t>
            </w:r>
            <w:r>
              <w:rPr>
                <w:sz w:val="24"/>
                <w:lang w:val="zh-CN"/>
              </w:rPr>
              <w:t>的除水效率；</w:t>
            </w:r>
          </w:p>
          <w:p>
            <w:pPr>
              <w:spacing w:line="360" w:lineRule="auto"/>
              <w:ind w:firstLine="470" w:firstLineChars="196"/>
              <w:rPr>
                <w:sz w:val="24"/>
                <w:lang w:val="zh-CN"/>
              </w:rPr>
            </w:pPr>
            <w:r>
              <w:rPr>
                <w:rFonts w:ascii="Segoe UI Symbol" w:hAnsi="Segoe UI Symbol" w:cs="Segoe UI Symbol"/>
                <w:sz w:val="24"/>
                <w:lang w:val="zh-CN"/>
              </w:rPr>
              <w:t>★</w:t>
            </w:r>
            <w:r>
              <w:rPr>
                <w:sz w:val="24"/>
                <w:lang w:val="zh-CN"/>
              </w:rPr>
              <w:t>2.5 内置20L不锈钢储气罐，具有平衡压力和减少空压机启动频率的功能；</w:t>
            </w:r>
          </w:p>
          <w:p>
            <w:pPr>
              <w:spacing w:line="360" w:lineRule="auto"/>
              <w:ind w:firstLine="470" w:firstLineChars="196"/>
              <w:rPr>
                <w:sz w:val="24"/>
                <w:lang w:val="zh-CN"/>
              </w:rPr>
            </w:pPr>
            <w:r>
              <w:rPr>
                <w:sz w:val="24"/>
                <w:lang w:val="zh-CN"/>
              </w:rPr>
              <w:t>2.6内置大功率对流排热风扇，减轻空压机负担，延长氮气发生器使用寿命；</w:t>
            </w:r>
          </w:p>
          <w:p>
            <w:pPr>
              <w:spacing w:line="360" w:lineRule="auto"/>
              <w:ind w:firstLine="470" w:firstLineChars="196"/>
              <w:rPr>
                <w:sz w:val="24"/>
                <w:lang w:val="zh-CN"/>
              </w:rPr>
            </w:pPr>
            <w:r>
              <w:rPr>
                <w:sz w:val="24"/>
                <w:lang w:val="zh-CN"/>
              </w:rPr>
              <w:t>2.7内置消音器及隔音机箱，系统（包括主机和压缩机）噪音水平≤60 db；</w:t>
            </w:r>
          </w:p>
          <w:p>
            <w:pPr>
              <w:spacing w:line="360" w:lineRule="auto"/>
              <w:ind w:firstLine="470" w:firstLineChars="196"/>
              <w:rPr>
                <w:sz w:val="24"/>
                <w:lang w:val="zh-CN"/>
              </w:rPr>
            </w:pPr>
            <w:r>
              <w:rPr>
                <w:rFonts w:ascii="Segoe UI Symbol" w:hAnsi="Segoe UI Symbol" w:cs="Segoe UI Symbol"/>
                <w:sz w:val="24"/>
                <w:lang w:val="zh-CN"/>
              </w:rPr>
              <w:t>★</w:t>
            </w:r>
            <w:r>
              <w:rPr>
                <w:sz w:val="24"/>
                <w:lang w:val="zh-CN"/>
              </w:rPr>
              <w:t>2.8氮气压力露点≤－40℃；</w:t>
            </w:r>
          </w:p>
          <w:p>
            <w:pPr>
              <w:spacing w:line="360" w:lineRule="auto"/>
              <w:ind w:firstLine="470" w:firstLineChars="196"/>
              <w:rPr>
                <w:sz w:val="24"/>
                <w:lang w:val="zh-CN"/>
              </w:rPr>
            </w:pPr>
            <w:r>
              <w:rPr>
                <w:sz w:val="24"/>
                <w:lang w:val="zh-CN"/>
              </w:rPr>
              <w:t>2.9出气中无悬浮液体，无邻苯二甲酸酯；</w:t>
            </w:r>
          </w:p>
          <w:p>
            <w:pPr>
              <w:spacing w:line="360" w:lineRule="auto"/>
              <w:ind w:firstLine="470" w:firstLineChars="196"/>
              <w:rPr>
                <w:sz w:val="24"/>
                <w:lang w:val="zh-CN"/>
              </w:rPr>
            </w:pPr>
            <w:r>
              <w:rPr>
                <w:sz w:val="24"/>
                <w:lang w:val="zh-CN"/>
              </w:rPr>
              <w:t>2.10空压机和氮气发生器连接方式采用空压机内置式；</w:t>
            </w:r>
          </w:p>
          <w:p>
            <w:pPr>
              <w:spacing w:line="360" w:lineRule="auto"/>
              <w:ind w:firstLine="470" w:firstLineChars="196"/>
              <w:rPr>
                <w:sz w:val="24"/>
                <w:lang w:val="zh-CN"/>
              </w:rPr>
            </w:pPr>
            <w:r>
              <w:rPr>
                <w:sz w:val="24"/>
                <w:lang w:val="zh-CN"/>
              </w:rPr>
              <w:t>3.13氮气发生器底部具承重轮及锁扣设计，安放平稳，移动方便；</w:t>
            </w:r>
          </w:p>
          <w:p>
            <w:pPr>
              <w:spacing w:line="360" w:lineRule="auto"/>
              <w:ind w:firstLine="470" w:firstLineChars="196"/>
              <w:rPr>
                <w:sz w:val="24"/>
                <w:lang w:val="zh-CN"/>
              </w:rPr>
            </w:pPr>
            <w:r>
              <w:rPr>
                <w:sz w:val="24"/>
                <w:lang w:val="zh-CN"/>
              </w:rPr>
              <w:t>3.14配备该设备正常运转所必备的工具包及所需的零配件。</w:t>
            </w:r>
          </w:p>
        </w:tc>
      </w:tr>
    </w:tbl>
    <w:p>
      <w:pPr>
        <w:spacing w:line="360" w:lineRule="auto"/>
        <w:ind w:firstLine="470" w:firstLineChars="196"/>
        <w:rPr>
          <w:color w:val="000000"/>
          <w:sz w:val="24"/>
        </w:rPr>
      </w:pPr>
    </w:p>
    <w:p>
      <w:pPr>
        <w:spacing w:line="360" w:lineRule="auto"/>
        <w:ind w:firstLine="480" w:firstLineChars="200"/>
        <w:rPr>
          <w:color w:val="000000"/>
          <w:sz w:val="24"/>
          <w:lang w:val="zh-CN"/>
        </w:rPr>
      </w:pPr>
      <w:r>
        <w:rPr>
          <w:b/>
          <w:sz w:val="24"/>
          <w:lang w:val="zh-CN"/>
        </w:rPr>
        <w:t>备注：</w:t>
      </w:r>
      <w:r>
        <w:rPr>
          <w:rFonts w:hint="eastAsia"/>
          <w:color w:val="000000"/>
          <w:sz w:val="24"/>
          <w:lang w:val="zh-CN"/>
        </w:rPr>
        <w:t>以上各标段要求的</w:t>
      </w:r>
      <w:r>
        <w:rPr>
          <w:color w:val="000000"/>
          <w:sz w:val="24"/>
          <w:lang w:val="zh-CN"/>
        </w:rPr>
        <w:t>投标产品必须是全新、未使用过的原装合格正品，符合招标文件的要求，达到国家、行业规定的通用标准和强制标准，属于国家强制认证的产品的必须通过认证。</w:t>
      </w:r>
      <w:r>
        <w:rPr>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color w:val="000000"/>
          <w:sz w:val="24"/>
          <w:lang w:val="zh-CN"/>
        </w:rPr>
        <w:t>欢迎投标质量、性能更优的产品。</w:t>
      </w:r>
    </w:p>
    <w:p>
      <w:pPr>
        <w:spacing w:line="360" w:lineRule="auto"/>
        <w:ind w:firstLine="480" w:firstLineChars="200"/>
        <w:rPr>
          <w:color w:val="000000"/>
        </w:rPr>
      </w:pPr>
      <w:r>
        <w:rPr>
          <w:rFonts w:hint="eastAsia"/>
          <w:color w:val="000000"/>
          <w:sz w:val="24"/>
          <w:lang w:val="zh-CN"/>
        </w:rPr>
        <w:t>以上所有的设备参数中，</w:t>
      </w:r>
      <w:r>
        <w:rPr>
          <w:color w:val="000000"/>
          <w:sz w:val="24"/>
        </w:rPr>
        <w:t>标</w:t>
      </w:r>
      <w:r>
        <w:rPr>
          <w:rFonts w:ascii="Segoe UI Symbol" w:hAnsi="Segoe UI Symbol" w:cs="Segoe UI Symbol"/>
          <w:color w:val="000000"/>
          <w:sz w:val="24"/>
        </w:rPr>
        <w:t>★</w:t>
      </w:r>
      <w:r>
        <w:rPr>
          <w:color w:val="000000"/>
          <w:sz w:val="24"/>
        </w:rPr>
        <w:t>的为核心指标</w:t>
      </w:r>
      <w:r>
        <w:rPr>
          <w:rFonts w:hint="eastAsia"/>
          <w:color w:val="000000"/>
          <w:sz w:val="24"/>
        </w:rPr>
        <w:t>，必须满足，否则为</w:t>
      </w:r>
      <w:r>
        <w:rPr>
          <w:color w:val="000000"/>
          <w:sz w:val="24"/>
          <w:lang w:val="zh-CN"/>
        </w:rPr>
        <w:t>无效标</w:t>
      </w:r>
      <w:r>
        <w:rPr>
          <w:color w:val="000000"/>
          <w:sz w:val="24"/>
        </w:rPr>
        <w:t>。</w:t>
      </w:r>
    </w:p>
    <w:p>
      <w:pPr>
        <w:spacing w:line="360" w:lineRule="auto"/>
        <w:ind w:firstLine="480" w:firstLineChars="200"/>
        <w:rPr>
          <w:color w:val="000000"/>
          <w:sz w:val="24"/>
          <w:lang w:val="zh-CN"/>
        </w:rPr>
      </w:pPr>
      <w:r>
        <w:rPr>
          <w:rFonts w:hint="eastAsia"/>
          <w:color w:val="000000"/>
          <w:sz w:val="24"/>
          <w:lang w:val="zh-CN"/>
        </w:rPr>
        <w:t>投标商</w:t>
      </w:r>
      <w:r>
        <w:rPr>
          <w:color w:val="000000"/>
          <w:sz w:val="24"/>
          <w:lang w:val="zh-CN"/>
        </w:rPr>
        <w:t>投标品牌档次不能低于推荐品牌，否则为无效标。</w:t>
      </w:r>
    </w:p>
    <w:p>
      <w:pPr>
        <w:spacing w:line="360" w:lineRule="auto"/>
        <w:ind w:firstLine="480" w:firstLineChars="200"/>
        <w:rPr>
          <w:color w:val="000000"/>
          <w:sz w:val="24"/>
          <w:szCs w:val="24"/>
        </w:rPr>
      </w:pPr>
      <w:r>
        <w:rPr>
          <w:rFonts w:hint="eastAsia"/>
          <w:color w:val="000000"/>
          <w:sz w:val="24"/>
        </w:rPr>
        <w:t>★</w:t>
      </w:r>
      <w:r>
        <w:rPr>
          <w:rFonts w:hint="eastAsia"/>
          <w:color w:val="000000"/>
          <w:sz w:val="24"/>
          <w:szCs w:val="24"/>
        </w:rPr>
        <w:t>三、质保及售后</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以上所有设备质保至少2年，设备有故障时24小时响应，48小时内到达现场维修。</w:t>
      </w:r>
    </w:p>
    <w:p>
      <w:pPr>
        <w:spacing w:line="360" w:lineRule="auto"/>
        <w:ind w:firstLine="480" w:firstLineChars="200"/>
        <w:rPr>
          <w:sz w:val="24"/>
          <w:szCs w:val="24"/>
        </w:rPr>
      </w:pPr>
      <w:r>
        <w:rPr>
          <w:rFonts w:ascii="Segoe UI Symbol" w:hAnsi="Segoe UI Symbol" w:cs="Segoe UI Symbol"/>
          <w:color w:val="000000"/>
          <w:sz w:val="24"/>
        </w:rPr>
        <w:t>★</w:t>
      </w:r>
      <w:r>
        <w:rPr>
          <w:rFonts w:hint="eastAsia"/>
          <w:color w:val="000000"/>
          <w:sz w:val="24"/>
          <w:szCs w:val="24"/>
        </w:rPr>
        <w:t>四</w:t>
      </w:r>
      <w:r>
        <w:rPr>
          <w:color w:val="000000"/>
          <w:sz w:val="24"/>
          <w:szCs w:val="24"/>
        </w:rPr>
        <w:t>、商务要求</w:t>
      </w:r>
    </w:p>
    <w:p>
      <w:pPr>
        <w:spacing w:line="360" w:lineRule="auto"/>
        <w:ind w:firstLine="480" w:firstLineChars="200"/>
        <w:rPr>
          <w:sz w:val="24"/>
          <w:lang w:val="zh-CN"/>
        </w:rPr>
      </w:pPr>
      <w:r>
        <w:rPr>
          <w:sz w:val="24"/>
          <w:lang w:val="zh-CN"/>
        </w:rPr>
        <w:t>1.供货时间:合同签订后60日内供货安装调试到位。</w:t>
      </w:r>
    </w:p>
    <w:p>
      <w:pPr>
        <w:spacing w:line="360" w:lineRule="auto"/>
        <w:ind w:firstLine="480" w:firstLineChars="200"/>
        <w:rPr>
          <w:sz w:val="24"/>
          <w:lang w:val="zh-CN"/>
        </w:rPr>
      </w:pPr>
      <w:r>
        <w:rPr>
          <w:sz w:val="24"/>
          <w:lang w:val="zh-CN"/>
        </w:rPr>
        <w:t>2.供货地点:</w:t>
      </w:r>
      <w:r>
        <w:rPr>
          <w:rFonts w:hint="eastAsia"/>
          <w:sz w:val="24"/>
          <w:lang w:val="zh-CN"/>
        </w:rPr>
        <w:t>淮阴工学院生科学院2</w:t>
      </w:r>
      <w:r>
        <w:rPr>
          <w:sz w:val="24"/>
          <w:lang w:val="zh-CN"/>
        </w:rPr>
        <w:t>8</w:t>
      </w:r>
      <w:r>
        <w:rPr>
          <w:rFonts w:hint="eastAsia"/>
          <w:sz w:val="24"/>
          <w:lang w:val="zh-CN"/>
        </w:rPr>
        <w:t>号楼三楼3</w:t>
      </w:r>
      <w:r>
        <w:rPr>
          <w:sz w:val="24"/>
          <w:lang w:val="zh-CN"/>
        </w:rPr>
        <w:t>17</w:t>
      </w:r>
      <w:r>
        <w:rPr>
          <w:rFonts w:hint="eastAsia"/>
          <w:sz w:val="24"/>
          <w:lang w:val="zh-CN"/>
        </w:rPr>
        <w:t>室</w:t>
      </w:r>
    </w:p>
    <w:p>
      <w:pPr>
        <w:spacing w:line="360" w:lineRule="auto"/>
        <w:ind w:firstLine="480" w:firstLineChars="200"/>
        <w:rPr>
          <w:color w:val="000000"/>
          <w:sz w:val="24"/>
          <w:lang w:val="zh-CN"/>
        </w:rPr>
      </w:pPr>
      <w:r>
        <w:rPr>
          <w:color w:val="000000"/>
          <w:sz w:val="24"/>
          <w:lang w:val="zh-CN"/>
        </w:rPr>
        <w:t>3.付款方式: 合同期内货到我校安装、调试完毕，验收合格后，付合同款的95%；余下5%合同款作为质量保证金，待一年后使用无质量及售后服务等问题后结清余款（不计息）；如有质量问题，不能及时更换或不能及时维保到位，尾款不予支付</w:t>
      </w:r>
      <w:r>
        <w:rPr>
          <w:color w:val="000000"/>
          <w:sz w:val="24"/>
        </w:rPr>
        <w:t>并按合同追究赔偿等责任</w:t>
      </w:r>
      <w:r>
        <w:rPr>
          <w:color w:val="000000"/>
          <w:sz w:val="24"/>
          <w:lang w:val="zh-CN"/>
        </w:rPr>
        <w:t>。如验收不合格以及发现伪劣产品等，采购人将视其情况，采取退货、拒付货款、索赔等措施，直至向质量技术监督主管部门报告，依法处理。</w:t>
      </w:r>
    </w:p>
    <w:p>
      <w:pPr>
        <w:spacing w:line="300" w:lineRule="auto"/>
        <w:ind w:firstLine="480" w:firstLineChars="200"/>
        <w:jc w:val="left"/>
        <w:rPr>
          <w:color w:val="000000"/>
          <w:sz w:val="24"/>
          <w:szCs w:val="24"/>
        </w:rPr>
      </w:pPr>
    </w:p>
    <w:p>
      <w:pPr>
        <w:spacing w:line="300" w:lineRule="auto"/>
        <w:ind w:firstLine="480" w:firstLineChars="200"/>
        <w:jc w:val="center"/>
        <w:rPr>
          <w:rFonts w:ascii="方正小标宋简体" w:eastAsia="方正小标宋简体"/>
          <w:color w:val="000000"/>
          <w:spacing w:val="4"/>
          <w:sz w:val="36"/>
          <w:szCs w:val="36"/>
        </w:rPr>
      </w:pPr>
      <w:r>
        <w:rPr>
          <w:color w:val="000000"/>
          <w:sz w:val="24"/>
          <w:szCs w:val="24"/>
        </w:rPr>
        <w:br w:type="page"/>
      </w: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spacing w:line="400" w:lineRule="exact"/>
        <w:jc w:val="left"/>
        <w:rPr>
          <w:rFonts w:ascii="宋体" w:cs="宋体"/>
          <w:sz w:val="24"/>
          <w:szCs w:val="24"/>
        </w:rPr>
      </w:pPr>
    </w:p>
    <w:p>
      <w:pPr>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根据《中华人民共和国合同法》，甲、乙双方经过友好协商，本着平等互利的原则，签订以下条款。</w:t>
      </w:r>
    </w:p>
    <w:p>
      <w:pPr>
        <w:numPr>
          <w:ilvl w:val="0"/>
          <w:numId w:val="2"/>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1"/>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ascii="宋体" w:hAnsi="宋体" w:cs="宋体"/>
                <w:kern w:val="0"/>
                <w:szCs w:val="21"/>
              </w:rPr>
              <w:t xml:space="preserve">                    </w:t>
            </w:r>
            <w:r>
              <w:rPr>
                <w:rFonts w:hint="eastAsia" w:ascii="宋体" w:hAnsi="宋体"/>
                <w:color w:val="000000"/>
                <w:szCs w:val="21"/>
              </w:rPr>
              <w:t>（小写）：￥</w:t>
            </w:r>
            <w:r>
              <w:rPr>
                <w:rFonts w:ascii="宋体" w:hAnsi="宋体" w:cs="宋体"/>
                <w:kern w:val="0"/>
                <w:szCs w:val="21"/>
              </w:rPr>
              <w:t xml:space="preserve">     </w:t>
            </w:r>
            <w:r>
              <w:rPr>
                <w:rFonts w:ascii="宋体" w:hAnsi="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60</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3"/>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w:t>
      </w:r>
      <w:r>
        <w:rPr>
          <w:rFonts w:ascii="宋体" w:hAnsi="宋体" w:cs="宋体"/>
          <w:sz w:val="24"/>
          <w:szCs w:val="24"/>
        </w:rPr>
        <w:t xml:space="preserve">   </w:t>
      </w:r>
      <w:r>
        <w:rPr>
          <w:rFonts w:hint="eastAsia" w:ascii="宋体" w:hAnsi="宋体" w:cs="宋体"/>
          <w:sz w:val="24"/>
          <w:szCs w:val="24"/>
        </w:rPr>
        <w:t>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4"/>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ascii="宋体" w:hAnsi="宋体"/>
          <w:bCs/>
          <w:color w:val="000000"/>
          <w:sz w:val="24"/>
          <w:szCs w:val="24"/>
        </w:rPr>
        <w:t>5%</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1-2</w:t>
      </w:r>
      <w:r>
        <w:rPr>
          <w:rFonts w:hint="eastAsia" w:ascii="宋体" w:hAnsi="宋体" w:cs="宋体"/>
          <w:kern w:val="0"/>
          <w:sz w:val="24"/>
          <w:szCs w:val="24"/>
        </w:rPr>
        <w:t>年后一次付清余款。</w:t>
      </w:r>
      <w:r>
        <w:rPr>
          <w:rFonts w:ascii="宋体" w:hAnsi="宋体" w:cs="宋体"/>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hAns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spacing w:line="520" w:lineRule="exact"/>
        <w:ind w:right="480"/>
        <w:rPr>
          <w:rFonts w:ascii="宋体" w:hAns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0" w:name="OLE_LINK1"/>
      <w:bookmarkStart w:id="1" w:name="OLE_LINK2"/>
      <w:r>
        <w:rPr>
          <w:color w:val="000000"/>
          <w:sz w:val="24"/>
          <w:u w:val="single"/>
        </w:rPr>
        <w:t xml:space="preserve"> </w:t>
      </w:r>
    </w:p>
    <w:p>
      <w:pPr>
        <w:widowControl/>
        <w:jc w:val="left"/>
        <w:rPr>
          <w:bCs/>
          <w:color w:val="000000"/>
          <w:sz w:val="24"/>
          <w:szCs w:val="24"/>
        </w:rPr>
      </w:pPr>
    </w:p>
    <w:bookmarkEnd w:id="0"/>
    <w:bookmarkEnd w:id="1"/>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mc:AlternateContent>
          <mc:Choice Requires="wps">
            <w:drawing>
              <wp:anchor distT="0" distB="0" distL="114300" distR="114300" simplePos="0" relativeHeight="251657216" behindDoc="0" locked="0" layoutInCell="1" allowOverlap="1">
                <wp:simplePos x="0" y="0"/>
                <wp:positionH relativeFrom="column">
                  <wp:posOffset>1314450</wp:posOffset>
                </wp:positionH>
                <wp:positionV relativeFrom="paragraph">
                  <wp:posOffset>89535</wp:posOffset>
                </wp:positionV>
                <wp:extent cx="3314700" cy="1882140"/>
                <wp:effectExtent l="0" t="0" r="19050" b="2286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314700" cy="1882140"/>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03.5pt;margin-top:7.05pt;height:148.2pt;width:261pt;z-index:251657216;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yk3iNkAAAAK&#10;AQAADwAAAAAAAAABACAAAAAiAAAAZHJzL2Rvd25yZXYueG1sUEsBAhQAFAAAAAgAh07iQI1QwXwb&#10;AgAARwQAAA4AAAAAAAAAAQAgAAAAKAEAAGRycy9lMm9Eb2MueG1sUEsFBgAAAAAGAAYAWQEAALUF&#10;AAA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法定代表人姓名（签名）：</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220345</wp:posOffset>
                </wp:positionV>
                <wp:extent cx="2857500" cy="1684020"/>
                <wp:effectExtent l="0" t="0" r="19050" b="1143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57500" cy="16840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17.35pt;height:132.6pt;width:225pt;z-index:251658240;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oLpdj1wAAAAcB&#10;AAAPAAAAAAAAAAEAIAAAACIAAABkcnMvZG93bnJldi54bWxQSwECFAAUAAAACACHTuJA0o1Q7hwC&#10;AABHBAAADgAAAAAAAAABACAAAAAmAQAAZHJzL2Uyb0RvYy54bWxQSwUGAAAAAAYABgBZAQAAtAUA&#10;A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220345</wp:posOffset>
                </wp:positionV>
                <wp:extent cx="2790825" cy="1679575"/>
                <wp:effectExtent l="0" t="0" r="28575" b="15875"/>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90825" cy="167957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52pt;margin-top:17.35pt;height:132.25pt;width:219.75pt;z-index:251658240;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DTF0&#10;BxwCAABHBAAADgAAAAAAAAABACAAAAApAQAAZHJzL2Uyb0RvYy54bWxQSwUGAAAAAAYABgBZAQAA&#10;twU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r>
              <w:rPr>
                <w:color w:val="000000"/>
                <w:szCs w:val="21"/>
              </w:rPr>
              <w:t xml:space="preserve"> </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5"/>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5"/>
        <w:spacing w:line="440" w:lineRule="exact"/>
        <w:jc w:val="center"/>
        <w:rPr>
          <w:rFonts w:ascii="Times New Roman" w:hAnsi="Times New Roman"/>
          <w:b/>
          <w:color w:val="000000"/>
          <w:sz w:val="32"/>
        </w:rPr>
      </w:pPr>
    </w:p>
    <w:tbl>
      <w:tblPr>
        <w:tblStyle w:val="11"/>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法定代表人（授权委托人）签字</w:t>
      </w:r>
      <w:r>
        <w:rPr>
          <w:rFonts w:ascii="宋体" w:hAnsi="宋体"/>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color w:val="000000"/>
          <w:sz w:val="32"/>
          <w:szCs w:val="32"/>
        </w:rPr>
      </w:pPr>
      <w:r>
        <w:rPr>
          <w:rFonts w:ascii="宋体"/>
          <w:sz w:val="28"/>
          <w:szCs w:val="28"/>
        </w:rPr>
        <w:br w:type="page"/>
      </w:r>
      <w:r>
        <w:rPr>
          <w:rFonts w:hint="eastAsia" w:ascii="方正小标宋简体" w:eastAsia="方正小标宋简体"/>
          <w:color w:val="000000"/>
          <w:sz w:val="32"/>
          <w:szCs w:val="32"/>
        </w:rPr>
        <w:t>八</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九</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经办人：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bl>
    <w:p/>
    <w:sectPr>
      <w:footerReference r:id="rId6" w:type="default"/>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rPr>
        <w:lang w:val="zh-CN"/>
      </w:rPr>
      <w:fldChar w:fldCharType="begin"/>
    </w:r>
    <w:r>
      <w:rPr>
        <w:lang w:val="zh-CN"/>
      </w:rPr>
      <w:instrText xml:space="preserve">PAGE   \* MERGEFORMAT</w:instrText>
    </w:r>
    <w:r>
      <w:rPr>
        <w:lang w:val="zh-CN"/>
      </w:rPr>
      <w:fldChar w:fldCharType="separate"/>
    </w:r>
    <w:r>
      <w:rPr>
        <w:lang w:val="zh-CN"/>
      </w:rPr>
      <w:t>17</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2">
    <w:nsid w:val="598472F3"/>
    <w:multiLevelType w:val="multilevel"/>
    <w:tmpl w:val="598472F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4E"/>
    <w:rsid w:val="00000F8B"/>
    <w:rsid w:val="000023D8"/>
    <w:rsid w:val="00003108"/>
    <w:rsid w:val="000100ED"/>
    <w:rsid w:val="000119FC"/>
    <w:rsid w:val="00013B4F"/>
    <w:rsid w:val="00014005"/>
    <w:rsid w:val="000144E9"/>
    <w:rsid w:val="000157D6"/>
    <w:rsid w:val="00017890"/>
    <w:rsid w:val="00020CF1"/>
    <w:rsid w:val="000263BC"/>
    <w:rsid w:val="000265D9"/>
    <w:rsid w:val="000342F2"/>
    <w:rsid w:val="00037A44"/>
    <w:rsid w:val="000420C7"/>
    <w:rsid w:val="000433B2"/>
    <w:rsid w:val="00045B5E"/>
    <w:rsid w:val="000478B3"/>
    <w:rsid w:val="00047B69"/>
    <w:rsid w:val="00047E25"/>
    <w:rsid w:val="00055323"/>
    <w:rsid w:val="00056E5E"/>
    <w:rsid w:val="00056FF7"/>
    <w:rsid w:val="0006064C"/>
    <w:rsid w:val="00061FE6"/>
    <w:rsid w:val="00062965"/>
    <w:rsid w:val="00070A2B"/>
    <w:rsid w:val="0007143D"/>
    <w:rsid w:val="00071B54"/>
    <w:rsid w:val="00071D88"/>
    <w:rsid w:val="00073BF5"/>
    <w:rsid w:val="0007566C"/>
    <w:rsid w:val="00080769"/>
    <w:rsid w:val="000829AC"/>
    <w:rsid w:val="00083BB2"/>
    <w:rsid w:val="00084E6C"/>
    <w:rsid w:val="00085295"/>
    <w:rsid w:val="000865C6"/>
    <w:rsid w:val="00086609"/>
    <w:rsid w:val="00087B26"/>
    <w:rsid w:val="00090767"/>
    <w:rsid w:val="00090BFC"/>
    <w:rsid w:val="00092991"/>
    <w:rsid w:val="00095ACE"/>
    <w:rsid w:val="000968B8"/>
    <w:rsid w:val="00096917"/>
    <w:rsid w:val="00097CB8"/>
    <w:rsid w:val="000A04A4"/>
    <w:rsid w:val="000A1C36"/>
    <w:rsid w:val="000A3585"/>
    <w:rsid w:val="000A6FF0"/>
    <w:rsid w:val="000B032C"/>
    <w:rsid w:val="000B0C7B"/>
    <w:rsid w:val="000B1CC6"/>
    <w:rsid w:val="000B43D7"/>
    <w:rsid w:val="000B59A0"/>
    <w:rsid w:val="000B686E"/>
    <w:rsid w:val="000B7F28"/>
    <w:rsid w:val="000C220D"/>
    <w:rsid w:val="000C3243"/>
    <w:rsid w:val="000C3DB4"/>
    <w:rsid w:val="000C5CCA"/>
    <w:rsid w:val="000C7B20"/>
    <w:rsid w:val="000D0DE3"/>
    <w:rsid w:val="000D1005"/>
    <w:rsid w:val="000D48F6"/>
    <w:rsid w:val="000D5EBC"/>
    <w:rsid w:val="000D7995"/>
    <w:rsid w:val="000D7BA1"/>
    <w:rsid w:val="000E0249"/>
    <w:rsid w:val="000E2989"/>
    <w:rsid w:val="000E4162"/>
    <w:rsid w:val="000E422E"/>
    <w:rsid w:val="000E425B"/>
    <w:rsid w:val="000E52EE"/>
    <w:rsid w:val="000E63B7"/>
    <w:rsid w:val="000E7E17"/>
    <w:rsid w:val="000F1A6A"/>
    <w:rsid w:val="000F21D3"/>
    <w:rsid w:val="000F32D6"/>
    <w:rsid w:val="000F41B2"/>
    <w:rsid w:val="000F4C85"/>
    <w:rsid w:val="00100B54"/>
    <w:rsid w:val="00101CF2"/>
    <w:rsid w:val="0010321A"/>
    <w:rsid w:val="00103257"/>
    <w:rsid w:val="00103B6E"/>
    <w:rsid w:val="00104A8C"/>
    <w:rsid w:val="00104B67"/>
    <w:rsid w:val="00104B82"/>
    <w:rsid w:val="00104C50"/>
    <w:rsid w:val="00104C97"/>
    <w:rsid w:val="00106A49"/>
    <w:rsid w:val="00113748"/>
    <w:rsid w:val="00113B37"/>
    <w:rsid w:val="0011450A"/>
    <w:rsid w:val="00114D13"/>
    <w:rsid w:val="001221AC"/>
    <w:rsid w:val="001273A0"/>
    <w:rsid w:val="001312A9"/>
    <w:rsid w:val="00133B0E"/>
    <w:rsid w:val="00135F84"/>
    <w:rsid w:val="0014296F"/>
    <w:rsid w:val="00146573"/>
    <w:rsid w:val="00146F7F"/>
    <w:rsid w:val="00150973"/>
    <w:rsid w:val="00150DC5"/>
    <w:rsid w:val="00151324"/>
    <w:rsid w:val="001516FC"/>
    <w:rsid w:val="00152DB1"/>
    <w:rsid w:val="00154A97"/>
    <w:rsid w:val="00156A0F"/>
    <w:rsid w:val="00167257"/>
    <w:rsid w:val="00170627"/>
    <w:rsid w:val="001706A3"/>
    <w:rsid w:val="001709E5"/>
    <w:rsid w:val="00171A44"/>
    <w:rsid w:val="00174659"/>
    <w:rsid w:val="001767F2"/>
    <w:rsid w:val="00176A63"/>
    <w:rsid w:val="00177384"/>
    <w:rsid w:val="00180D9C"/>
    <w:rsid w:val="00182B40"/>
    <w:rsid w:val="00183749"/>
    <w:rsid w:val="00183B90"/>
    <w:rsid w:val="00184BC8"/>
    <w:rsid w:val="0018524D"/>
    <w:rsid w:val="00190D36"/>
    <w:rsid w:val="00193990"/>
    <w:rsid w:val="0019425A"/>
    <w:rsid w:val="001A1AA6"/>
    <w:rsid w:val="001A71BF"/>
    <w:rsid w:val="001B3887"/>
    <w:rsid w:val="001B5E69"/>
    <w:rsid w:val="001B7D04"/>
    <w:rsid w:val="001C0046"/>
    <w:rsid w:val="001C193E"/>
    <w:rsid w:val="001C1B9C"/>
    <w:rsid w:val="001C3818"/>
    <w:rsid w:val="001C48A2"/>
    <w:rsid w:val="001C5052"/>
    <w:rsid w:val="001C76A1"/>
    <w:rsid w:val="001D0406"/>
    <w:rsid w:val="001D0D5E"/>
    <w:rsid w:val="001D1927"/>
    <w:rsid w:val="001D1A07"/>
    <w:rsid w:val="001D1AB1"/>
    <w:rsid w:val="001D5B16"/>
    <w:rsid w:val="001D5BF3"/>
    <w:rsid w:val="001D6F3A"/>
    <w:rsid w:val="001E02EE"/>
    <w:rsid w:val="001E2E0C"/>
    <w:rsid w:val="001E335C"/>
    <w:rsid w:val="001E41D5"/>
    <w:rsid w:val="001E78DD"/>
    <w:rsid w:val="001F24D7"/>
    <w:rsid w:val="001F2F12"/>
    <w:rsid w:val="001F60BA"/>
    <w:rsid w:val="001F7EAC"/>
    <w:rsid w:val="00200DF3"/>
    <w:rsid w:val="0020155E"/>
    <w:rsid w:val="00201C1C"/>
    <w:rsid w:val="002069CB"/>
    <w:rsid w:val="002079E6"/>
    <w:rsid w:val="00216190"/>
    <w:rsid w:val="002162E3"/>
    <w:rsid w:val="002169CB"/>
    <w:rsid w:val="0022241A"/>
    <w:rsid w:val="00223DC2"/>
    <w:rsid w:val="00225D2F"/>
    <w:rsid w:val="0022654D"/>
    <w:rsid w:val="002270BE"/>
    <w:rsid w:val="00227EDE"/>
    <w:rsid w:val="00230743"/>
    <w:rsid w:val="002324F2"/>
    <w:rsid w:val="002333D1"/>
    <w:rsid w:val="00234B93"/>
    <w:rsid w:val="00236173"/>
    <w:rsid w:val="00236306"/>
    <w:rsid w:val="00241445"/>
    <w:rsid w:val="00246D5C"/>
    <w:rsid w:val="002470C2"/>
    <w:rsid w:val="00250B9E"/>
    <w:rsid w:val="0025188C"/>
    <w:rsid w:val="00252514"/>
    <w:rsid w:val="002629EE"/>
    <w:rsid w:val="00264A30"/>
    <w:rsid w:val="0026588F"/>
    <w:rsid w:val="00270B2F"/>
    <w:rsid w:val="002712A1"/>
    <w:rsid w:val="00272208"/>
    <w:rsid w:val="00272F8B"/>
    <w:rsid w:val="002733A9"/>
    <w:rsid w:val="0028016E"/>
    <w:rsid w:val="00283806"/>
    <w:rsid w:val="00284FCA"/>
    <w:rsid w:val="002862FD"/>
    <w:rsid w:val="0028659E"/>
    <w:rsid w:val="00290E9C"/>
    <w:rsid w:val="00293127"/>
    <w:rsid w:val="00295527"/>
    <w:rsid w:val="0029747E"/>
    <w:rsid w:val="002A06C3"/>
    <w:rsid w:val="002A1966"/>
    <w:rsid w:val="002A3924"/>
    <w:rsid w:val="002A443E"/>
    <w:rsid w:val="002A6E0D"/>
    <w:rsid w:val="002A7F40"/>
    <w:rsid w:val="002B1504"/>
    <w:rsid w:val="002B1E70"/>
    <w:rsid w:val="002B1E9E"/>
    <w:rsid w:val="002B265C"/>
    <w:rsid w:val="002B6E1D"/>
    <w:rsid w:val="002B792B"/>
    <w:rsid w:val="002C0BEF"/>
    <w:rsid w:val="002C1A37"/>
    <w:rsid w:val="002C3F6F"/>
    <w:rsid w:val="002C419E"/>
    <w:rsid w:val="002C48E7"/>
    <w:rsid w:val="002D3C9F"/>
    <w:rsid w:val="002D5572"/>
    <w:rsid w:val="002D68E7"/>
    <w:rsid w:val="002E2917"/>
    <w:rsid w:val="002E2E0F"/>
    <w:rsid w:val="002E3A68"/>
    <w:rsid w:val="002E3A8C"/>
    <w:rsid w:val="002E4068"/>
    <w:rsid w:val="002E6B21"/>
    <w:rsid w:val="002F0B75"/>
    <w:rsid w:val="002F10D2"/>
    <w:rsid w:val="002F1DBC"/>
    <w:rsid w:val="002F3259"/>
    <w:rsid w:val="002F4531"/>
    <w:rsid w:val="002F5571"/>
    <w:rsid w:val="002F7056"/>
    <w:rsid w:val="00300181"/>
    <w:rsid w:val="003004B3"/>
    <w:rsid w:val="00302FCF"/>
    <w:rsid w:val="003040EE"/>
    <w:rsid w:val="003054FB"/>
    <w:rsid w:val="003068EA"/>
    <w:rsid w:val="00311074"/>
    <w:rsid w:val="00311919"/>
    <w:rsid w:val="00314879"/>
    <w:rsid w:val="00314E00"/>
    <w:rsid w:val="00315A8A"/>
    <w:rsid w:val="00321127"/>
    <w:rsid w:val="00322456"/>
    <w:rsid w:val="00324DBD"/>
    <w:rsid w:val="00333852"/>
    <w:rsid w:val="00335CE0"/>
    <w:rsid w:val="003368E5"/>
    <w:rsid w:val="00337E4B"/>
    <w:rsid w:val="003402E6"/>
    <w:rsid w:val="0034035D"/>
    <w:rsid w:val="00342244"/>
    <w:rsid w:val="00343679"/>
    <w:rsid w:val="00345290"/>
    <w:rsid w:val="00345D48"/>
    <w:rsid w:val="0036034F"/>
    <w:rsid w:val="0036204F"/>
    <w:rsid w:val="0036213F"/>
    <w:rsid w:val="00363C01"/>
    <w:rsid w:val="003643F6"/>
    <w:rsid w:val="003646DA"/>
    <w:rsid w:val="00367BCC"/>
    <w:rsid w:val="00374B29"/>
    <w:rsid w:val="003769E1"/>
    <w:rsid w:val="0038013D"/>
    <w:rsid w:val="00381A7A"/>
    <w:rsid w:val="00386017"/>
    <w:rsid w:val="0038645C"/>
    <w:rsid w:val="003941DA"/>
    <w:rsid w:val="003974E2"/>
    <w:rsid w:val="00397C2F"/>
    <w:rsid w:val="003A0DA2"/>
    <w:rsid w:val="003A10C6"/>
    <w:rsid w:val="003A196F"/>
    <w:rsid w:val="003A35EB"/>
    <w:rsid w:val="003A5449"/>
    <w:rsid w:val="003A56D3"/>
    <w:rsid w:val="003A7F29"/>
    <w:rsid w:val="003B445F"/>
    <w:rsid w:val="003B51D3"/>
    <w:rsid w:val="003B696C"/>
    <w:rsid w:val="003B7351"/>
    <w:rsid w:val="003C12AB"/>
    <w:rsid w:val="003C2AF6"/>
    <w:rsid w:val="003C311C"/>
    <w:rsid w:val="003C3B9B"/>
    <w:rsid w:val="003C3F1B"/>
    <w:rsid w:val="003D0578"/>
    <w:rsid w:val="003D1E7B"/>
    <w:rsid w:val="003D5614"/>
    <w:rsid w:val="003D7765"/>
    <w:rsid w:val="003F24FF"/>
    <w:rsid w:val="003F3D31"/>
    <w:rsid w:val="003F4121"/>
    <w:rsid w:val="003F41D3"/>
    <w:rsid w:val="003F486A"/>
    <w:rsid w:val="003F7D2B"/>
    <w:rsid w:val="00402E23"/>
    <w:rsid w:val="0040312C"/>
    <w:rsid w:val="00405B00"/>
    <w:rsid w:val="00407863"/>
    <w:rsid w:val="00407FAE"/>
    <w:rsid w:val="00407FF8"/>
    <w:rsid w:val="00411FF9"/>
    <w:rsid w:val="0041249C"/>
    <w:rsid w:val="00412EB8"/>
    <w:rsid w:val="00413322"/>
    <w:rsid w:val="004136AD"/>
    <w:rsid w:val="00413F9A"/>
    <w:rsid w:val="00416D74"/>
    <w:rsid w:val="00416ECE"/>
    <w:rsid w:val="00421DF1"/>
    <w:rsid w:val="0042426B"/>
    <w:rsid w:val="00425431"/>
    <w:rsid w:val="00425D6A"/>
    <w:rsid w:val="00427F76"/>
    <w:rsid w:val="00431608"/>
    <w:rsid w:val="004355FE"/>
    <w:rsid w:val="00435A23"/>
    <w:rsid w:val="00436416"/>
    <w:rsid w:val="00441377"/>
    <w:rsid w:val="00441C05"/>
    <w:rsid w:val="00443BD5"/>
    <w:rsid w:val="004449E4"/>
    <w:rsid w:val="00445BEC"/>
    <w:rsid w:val="00445D8C"/>
    <w:rsid w:val="004505BC"/>
    <w:rsid w:val="00451AF3"/>
    <w:rsid w:val="00455E74"/>
    <w:rsid w:val="00457D48"/>
    <w:rsid w:val="00462DC7"/>
    <w:rsid w:val="004632BC"/>
    <w:rsid w:val="00463958"/>
    <w:rsid w:val="004646CA"/>
    <w:rsid w:val="00464F7B"/>
    <w:rsid w:val="00472C84"/>
    <w:rsid w:val="00473990"/>
    <w:rsid w:val="00473F9E"/>
    <w:rsid w:val="00474B9B"/>
    <w:rsid w:val="00475847"/>
    <w:rsid w:val="00482C8A"/>
    <w:rsid w:val="00484BB7"/>
    <w:rsid w:val="00484D2C"/>
    <w:rsid w:val="00484E12"/>
    <w:rsid w:val="0048637A"/>
    <w:rsid w:val="00491327"/>
    <w:rsid w:val="0049208F"/>
    <w:rsid w:val="00493B4D"/>
    <w:rsid w:val="004941B7"/>
    <w:rsid w:val="0049596F"/>
    <w:rsid w:val="004959D1"/>
    <w:rsid w:val="004964E1"/>
    <w:rsid w:val="00496584"/>
    <w:rsid w:val="004978ED"/>
    <w:rsid w:val="004A105A"/>
    <w:rsid w:val="004A1264"/>
    <w:rsid w:val="004A15A2"/>
    <w:rsid w:val="004A15E2"/>
    <w:rsid w:val="004A1E16"/>
    <w:rsid w:val="004A2341"/>
    <w:rsid w:val="004A301F"/>
    <w:rsid w:val="004A49C1"/>
    <w:rsid w:val="004B08E1"/>
    <w:rsid w:val="004B09FF"/>
    <w:rsid w:val="004B131C"/>
    <w:rsid w:val="004B1824"/>
    <w:rsid w:val="004B230E"/>
    <w:rsid w:val="004B24C2"/>
    <w:rsid w:val="004B3181"/>
    <w:rsid w:val="004B4679"/>
    <w:rsid w:val="004B5F9C"/>
    <w:rsid w:val="004C08AD"/>
    <w:rsid w:val="004C1E59"/>
    <w:rsid w:val="004C2B17"/>
    <w:rsid w:val="004C5CDB"/>
    <w:rsid w:val="004C67ED"/>
    <w:rsid w:val="004C7F70"/>
    <w:rsid w:val="004D0FDE"/>
    <w:rsid w:val="004D1B65"/>
    <w:rsid w:val="004D239A"/>
    <w:rsid w:val="004D4D9B"/>
    <w:rsid w:val="004D7746"/>
    <w:rsid w:val="004E0318"/>
    <w:rsid w:val="004E0461"/>
    <w:rsid w:val="004E06F9"/>
    <w:rsid w:val="004E5528"/>
    <w:rsid w:val="004E63F7"/>
    <w:rsid w:val="004F03BC"/>
    <w:rsid w:val="004F168B"/>
    <w:rsid w:val="004F26DB"/>
    <w:rsid w:val="004F3E4E"/>
    <w:rsid w:val="004F5600"/>
    <w:rsid w:val="004F56AC"/>
    <w:rsid w:val="004F6BF7"/>
    <w:rsid w:val="004F7147"/>
    <w:rsid w:val="004F73F2"/>
    <w:rsid w:val="00500B71"/>
    <w:rsid w:val="00501249"/>
    <w:rsid w:val="00501A86"/>
    <w:rsid w:val="00502996"/>
    <w:rsid w:val="00504BB1"/>
    <w:rsid w:val="0050534C"/>
    <w:rsid w:val="00506E96"/>
    <w:rsid w:val="005115DD"/>
    <w:rsid w:val="0051216D"/>
    <w:rsid w:val="00512448"/>
    <w:rsid w:val="0052014E"/>
    <w:rsid w:val="00521FB8"/>
    <w:rsid w:val="0052204B"/>
    <w:rsid w:val="005222C7"/>
    <w:rsid w:val="005228D7"/>
    <w:rsid w:val="00523B1F"/>
    <w:rsid w:val="00524D34"/>
    <w:rsid w:val="00530535"/>
    <w:rsid w:val="00530D3A"/>
    <w:rsid w:val="00530D4E"/>
    <w:rsid w:val="005313DE"/>
    <w:rsid w:val="005323BF"/>
    <w:rsid w:val="00534872"/>
    <w:rsid w:val="005348DE"/>
    <w:rsid w:val="005427E1"/>
    <w:rsid w:val="0054296E"/>
    <w:rsid w:val="005448C0"/>
    <w:rsid w:val="00545FF0"/>
    <w:rsid w:val="00547D7E"/>
    <w:rsid w:val="0055091A"/>
    <w:rsid w:val="0055107C"/>
    <w:rsid w:val="00553274"/>
    <w:rsid w:val="005559A2"/>
    <w:rsid w:val="00555CF3"/>
    <w:rsid w:val="00557B9E"/>
    <w:rsid w:val="00562D14"/>
    <w:rsid w:val="00562D30"/>
    <w:rsid w:val="005645C4"/>
    <w:rsid w:val="00575198"/>
    <w:rsid w:val="0057566E"/>
    <w:rsid w:val="005814F6"/>
    <w:rsid w:val="005845F8"/>
    <w:rsid w:val="00585AC2"/>
    <w:rsid w:val="005874C5"/>
    <w:rsid w:val="00593036"/>
    <w:rsid w:val="00594BB2"/>
    <w:rsid w:val="00594E9C"/>
    <w:rsid w:val="005978C2"/>
    <w:rsid w:val="005A1BE8"/>
    <w:rsid w:val="005A3960"/>
    <w:rsid w:val="005A3D60"/>
    <w:rsid w:val="005A4832"/>
    <w:rsid w:val="005A6B1A"/>
    <w:rsid w:val="005A7957"/>
    <w:rsid w:val="005A7DE8"/>
    <w:rsid w:val="005B1DB4"/>
    <w:rsid w:val="005B3560"/>
    <w:rsid w:val="005B396D"/>
    <w:rsid w:val="005B4C28"/>
    <w:rsid w:val="005C057B"/>
    <w:rsid w:val="005C1CFB"/>
    <w:rsid w:val="005C26B3"/>
    <w:rsid w:val="005C2F04"/>
    <w:rsid w:val="005C35D3"/>
    <w:rsid w:val="005C3632"/>
    <w:rsid w:val="005C4930"/>
    <w:rsid w:val="005C657A"/>
    <w:rsid w:val="005C6E39"/>
    <w:rsid w:val="005D12AD"/>
    <w:rsid w:val="005D2F11"/>
    <w:rsid w:val="005D3F0C"/>
    <w:rsid w:val="005E0170"/>
    <w:rsid w:val="005E5F37"/>
    <w:rsid w:val="005E7195"/>
    <w:rsid w:val="005F0BC0"/>
    <w:rsid w:val="005F3C27"/>
    <w:rsid w:val="005F690E"/>
    <w:rsid w:val="005F6E9A"/>
    <w:rsid w:val="00600715"/>
    <w:rsid w:val="00600A66"/>
    <w:rsid w:val="00600E77"/>
    <w:rsid w:val="00601347"/>
    <w:rsid w:val="00601435"/>
    <w:rsid w:val="0060236D"/>
    <w:rsid w:val="00605A09"/>
    <w:rsid w:val="00610E5C"/>
    <w:rsid w:val="006117DD"/>
    <w:rsid w:val="00613C98"/>
    <w:rsid w:val="00617A39"/>
    <w:rsid w:val="0062125C"/>
    <w:rsid w:val="00621415"/>
    <w:rsid w:val="00621CBC"/>
    <w:rsid w:val="00623C08"/>
    <w:rsid w:val="006248CA"/>
    <w:rsid w:val="00626C13"/>
    <w:rsid w:val="00631BF4"/>
    <w:rsid w:val="00631D73"/>
    <w:rsid w:val="00634CE5"/>
    <w:rsid w:val="00635E0E"/>
    <w:rsid w:val="0063665A"/>
    <w:rsid w:val="00636B8E"/>
    <w:rsid w:val="00641092"/>
    <w:rsid w:val="00644FC1"/>
    <w:rsid w:val="00645240"/>
    <w:rsid w:val="00646919"/>
    <w:rsid w:val="00650302"/>
    <w:rsid w:val="00650AA5"/>
    <w:rsid w:val="006522DB"/>
    <w:rsid w:val="00652ACA"/>
    <w:rsid w:val="00653416"/>
    <w:rsid w:val="00653B49"/>
    <w:rsid w:val="00653E0A"/>
    <w:rsid w:val="00657350"/>
    <w:rsid w:val="0066162F"/>
    <w:rsid w:val="006626A1"/>
    <w:rsid w:val="0066452C"/>
    <w:rsid w:val="00665147"/>
    <w:rsid w:val="00670D6A"/>
    <w:rsid w:val="00680B81"/>
    <w:rsid w:val="00680EAA"/>
    <w:rsid w:val="006811FD"/>
    <w:rsid w:val="006844CA"/>
    <w:rsid w:val="00685174"/>
    <w:rsid w:val="00687B0F"/>
    <w:rsid w:val="00690775"/>
    <w:rsid w:val="00691453"/>
    <w:rsid w:val="0069229A"/>
    <w:rsid w:val="00694F71"/>
    <w:rsid w:val="00697DD7"/>
    <w:rsid w:val="006A0CA0"/>
    <w:rsid w:val="006A1681"/>
    <w:rsid w:val="006A2C44"/>
    <w:rsid w:val="006A3246"/>
    <w:rsid w:val="006A3BB7"/>
    <w:rsid w:val="006A4E85"/>
    <w:rsid w:val="006B109E"/>
    <w:rsid w:val="006B188D"/>
    <w:rsid w:val="006B2B19"/>
    <w:rsid w:val="006B2E18"/>
    <w:rsid w:val="006B3184"/>
    <w:rsid w:val="006B5BF3"/>
    <w:rsid w:val="006C0C85"/>
    <w:rsid w:val="006C0F80"/>
    <w:rsid w:val="006C363C"/>
    <w:rsid w:val="006C5205"/>
    <w:rsid w:val="006C72BD"/>
    <w:rsid w:val="006C7DD9"/>
    <w:rsid w:val="006D1B65"/>
    <w:rsid w:val="006D3B4D"/>
    <w:rsid w:val="006D3E95"/>
    <w:rsid w:val="006D4903"/>
    <w:rsid w:val="006D5C44"/>
    <w:rsid w:val="006D707F"/>
    <w:rsid w:val="006E0418"/>
    <w:rsid w:val="006E114B"/>
    <w:rsid w:val="006E25C0"/>
    <w:rsid w:val="006E2B92"/>
    <w:rsid w:val="006E3064"/>
    <w:rsid w:val="006F171E"/>
    <w:rsid w:val="006F445E"/>
    <w:rsid w:val="006F4BD8"/>
    <w:rsid w:val="006F571C"/>
    <w:rsid w:val="006F57C2"/>
    <w:rsid w:val="006F5CF3"/>
    <w:rsid w:val="006F6EE8"/>
    <w:rsid w:val="0070059F"/>
    <w:rsid w:val="00706C52"/>
    <w:rsid w:val="00712286"/>
    <w:rsid w:val="00716D41"/>
    <w:rsid w:val="007178D8"/>
    <w:rsid w:val="00720C7F"/>
    <w:rsid w:val="00722CF2"/>
    <w:rsid w:val="00723731"/>
    <w:rsid w:val="00726D8B"/>
    <w:rsid w:val="007308AE"/>
    <w:rsid w:val="00730FDD"/>
    <w:rsid w:val="00731513"/>
    <w:rsid w:val="00731A32"/>
    <w:rsid w:val="00732927"/>
    <w:rsid w:val="007331AD"/>
    <w:rsid w:val="00734435"/>
    <w:rsid w:val="00736996"/>
    <w:rsid w:val="00737DC5"/>
    <w:rsid w:val="0074090C"/>
    <w:rsid w:val="00740A99"/>
    <w:rsid w:val="00746920"/>
    <w:rsid w:val="007477F6"/>
    <w:rsid w:val="00747DB8"/>
    <w:rsid w:val="00751712"/>
    <w:rsid w:val="00754273"/>
    <w:rsid w:val="0075509A"/>
    <w:rsid w:val="00756027"/>
    <w:rsid w:val="007568E5"/>
    <w:rsid w:val="007604E0"/>
    <w:rsid w:val="00764F28"/>
    <w:rsid w:val="007654C3"/>
    <w:rsid w:val="007663C0"/>
    <w:rsid w:val="00767D3B"/>
    <w:rsid w:val="007707C1"/>
    <w:rsid w:val="00770908"/>
    <w:rsid w:val="00771DD2"/>
    <w:rsid w:val="0077242B"/>
    <w:rsid w:val="00774107"/>
    <w:rsid w:val="00775AC2"/>
    <w:rsid w:val="007776F7"/>
    <w:rsid w:val="00781302"/>
    <w:rsid w:val="00781AA3"/>
    <w:rsid w:val="00782C13"/>
    <w:rsid w:val="007834A5"/>
    <w:rsid w:val="00785772"/>
    <w:rsid w:val="00786077"/>
    <w:rsid w:val="00786DF6"/>
    <w:rsid w:val="00790D98"/>
    <w:rsid w:val="00794BBD"/>
    <w:rsid w:val="00794BDA"/>
    <w:rsid w:val="00795C61"/>
    <w:rsid w:val="00795D9A"/>
    <w:rsid w:val="007969BB"/>
    <w:rsid w:val="00796D8D"/>
    <w:rsid w:val="007976B0"/>
    <w:rsid w:val="007A17B8"/>
    <w:rsid w:val="007A2797"/>
    <w:rsid w:val="007A509F"/>
    <w:rsid w:val="007A6765"/>
    <w:rsid w:val="007A7ECC"/>
    <w:rsid w:val="007B1A8B"/>
    <w:rsid w:val="007B2F5D"/>
    <w:rsid w:val="007B3E51"/>
    <w:rsid w:val="007B46E4"/>
    <w:rsid w:val="007B69E4"/>
    <w:rsid w:val="007C3DAD"/>
    <w:rsid w:val="007C4AE3"/>
    <w:rsid w:val="007C580E"/>
    <w:rsid w:val="007D373F"/>
    <w:rsid w:val="007D76B6"/>
    <w:rsid w:val="007D7708"/>
    <w:rsid w:val="007D779F"/>
    <w:rsid w:val="007D7D54"/>
    <w:rsid w:val="007E1C06"/>
    <w:rsid w:val="007F3DF6"/>
    <w:rsid w:val="007F4F98"/>
    <w:rsid w:val="007F5485"/>
    <w:rsid w:val="007F6A21"/>
    <w:rsid w:val="00800D73"/>
    <w:rsid w:val="00801164"/>
    <w:rsid w:val="0080178B"/>
    <w:rsid w:val="00802810"/>
    <w:rsid w:val="0080331B"/>
    <w:rsid w:val="00807E0B"/>
    <w:rsid w:val="00814DFA"/>
    <w:rsid w:val="00816C3F"/>
    <w:rsid w:val="0082209C"/>
    <w:rsid w:val="0082248D"/>
    <w:rsid w:val="0082373A"/>
    <w:rsid w:val="00823B36"/>
    <w:rsid w:val="00823FC4"/>
    <w:rsid w:val="0082629F"/>
    <w:rsid w:val="0083303E"/>
    <w:rsid w:val="0083342B"/>
    <w:rsid w:val="00833452"/>
    <w:rsid w:val="00833ECE"/>
    <w:rsid w:val="008346C8"/>
    <w:rsid w:val="00835167"/>
    <w:rsid w:val="00835CF2"/>
    <w:rsid w:val="00835F3C"/>
    <w:rsid w:val="0083669B"/>
    <w:rsid w:val="00840C23"/>
    <w:rsid w:val="0084130C"/>
    <w:rsid w:val="00846950"/>
    <w:rsid w:val="0084799F"/>
    <w:rsid w:val="008514E7"/>
    <w:rsid w:val="00851E90"/>
    <w:rsid w:val="008531D4"/>
    <w:rsid w:val="00854D58"/>
    <w:rsid w:val="008572DD"/>
    <w:rsid w:val="0085795F"/>
    <w:rsid w:val="00862408"/>
    <w:rsid w:val="008625B0"/>
    <w:rsid w:val="00863D19"/>
    <w:rsid w:val="00864522"/>
    <w:rsid w:val="00865909"/>
    <w:rsid w:val="00866993"/>
    <w:rsid w:val="00870865"/>
    <w:rsid w:val="008711D7"/>
    <w:rsid w:val="00871A83"/>
    <w:rsid w:val="00873663"/>
    <w:rsid w:val="00873E9A"/>
    <w:rsid w:val="00875BFD"/>
    <w:rsid w:val="00877621"/>
    <w:rsid w:val="00883A71"/>
    <w:rsid w:val="00884848"/>
    <w:rsid w:val="00886372"/>
    <w:rsid w:val="00887710"/>
    <w:rsid w:val="0089036F"/>
    <w:rsid w:val="00890B5A"/>
    <w:rsid w:val="00890C36"/>
    <w:rsid w:val="00890D72"/>
    <w:rsid w:val="0089267E"/>
    <w:rsid w:val="00893FEE"/>
    <w:rsid w:val="008974A9"/>
    <w:rsid w:val="00897B52"/>
    <w:rsid w:val="00897E1E"/>
    <w:rsid w:val="008A0341"/>
    <w:rsid w:val="008A2F34"/>
    <w:rsid w:val="008A3855"/>
    <w:rsid w:val="008A603C"/>
    <w:rsid w:val="008A676E"/>
    <w:rsid w:val="008A6F41"/>
    <w:rsid w:val="008A7F71"/>
    <w:rsid w:val="008B19DB"/>
    <w:rsid w:val="008B3EC0"/>
    <w:rsid w:val="008B571C"/>
    <w:rsid w:val="008B6176"/>
    <w:rsid w:val="008B7E13"/>
    <w:rsid w:val="008B7F5A"/>
    <w:rsid w:val="008C2947"/>
    <w:rsid w:val="008C399D"/>
    <w:rsid w:val="008D2926"/>
    <w:rsid w:val="008D6A9F"/>
    <w:rsid w:val="008E0AA8"/>
    <w:rsid w:val="008E48DB"/>
    <w:rsid w:val="008E7A72"/>
    <w:rsid w:val="008F00A8"/>
    <w:rsid w:val="008F3A61"/>
    <w:rsid w:val="008F4FD6"/>
    <w:rsid w:val="008F6EBD"/>
    <w:rsid w:val="009020B0"/>
    <w:rsid w:val="00902C52"/>
    <w:rsid w:val="00905B7E"/>
    <w:rsid w:val="00906F67"/>
    <w:rsid w:val="0091099A"/>
    <w:rsid w:val="00910E66"/>
    <w:rsid w:val="009119B1"/>
    <w:rsid w:val="00913281"/>
    <w:rsid w:val="00916F05"/>
    <w:rsid w:val="00921850"/>
    <w:rsid w:val="00922A43"/>
    <w:rsid w:val="00924230"/>
    <w:rsid w:val="00925E52"/>
    <w:rsid w:val="009260BF"/>
    <w:rsid w:val="00932823"/>
    <w:rsid w:val="009332C8"/>
    <w:rsid w:val="00933FF2"/>
    <w:rsid w:val="00934768"/>
    <w:rsid w:val="00935624"/>
    <w:rsid w:val="00935712"/>
    <w:rsid w:val="00936311"/>
    <w:rsid w:val="009439B7"/>
    <w:rsid w:val="00944DF7"/>
    <w:rsid w:val="0094748B"/>
    <w:rsid w:val="0094778D"/>
    <w:rsid w:val="00951FE9"/>
    <w:rsid w:val="00955531"/>
    <w:rsid w:val="00957DA6"/>
    <w:rsid w:val="009613BA"/>
    <w:rsid w:val="00961B94"/>
    <w:rsid w:val="00962D9D"/>
    <w:rsid w:val="00963396"/>
    <w:rsid w:val="009719C9"/>
    <w:rsid w:val="009731D6"/>
    <w:rsid w:val="00975873"/>
    <w:rsid w:val="0098031B"/>
    <w:rsid w:val="0098122D"/>
    <w:rsid w:val="00982220"/>
    <w:rsid w:val="009837AD"/>
    <w:rsid w:val="00984CD9"/>
    <w:rsid w:val="009850C6"/>
    <w:rsid w:val="009870D3"/>
    <w:rsid w:val="00990178"/>
    <w:rsid w:val="0099305A"/>
    <w:rsid w:val="009A05E7"/>
    <w:rsid w:val="009A270B"/>
    <w:rsid w:val="009A2A3B"/>
    <w:rsid w:val="009A47D0"/>
    <w:rsid w:val="009A4907"/>
    <w:rsid w:val="009A4CA8"/>
    <w:rsid w:val="009B1338"/>
    <w:rsid w:val="009B19E3"/>
    <w:rsid w:val="009B1E46"/>
    <w:rsid w:val="009B325F"/>
    <w:rsid w:val="009B3DF3"/>
    <w:rsid w:val="009B690C"/>
    <w:rsid w:val="009C6FBB"/>
    <w:rsid w:val="009C7295"/>
    <w:rsid w:val="009C7892"/>
    <w:rsid w:val="009C7E2D"/>
    <w:rsid w:val="009D1591"/>
    <w:rsid w:val="009D2257"/>
    <w:rsid w:val="009D2CB7"/>
    <w:rsid w:val="009D383B"/>
    <w:rsid w:val="009D7336"/>
    <w:rsid w:val="009D733E"/>
    <w:rsid w:val="009E0BDC"/>
    <w:rsid w:val="009E19F7"/>
    <w:rsid w:val="009E3436"/>
    <w:rsid w:val="009E7F26"/>
    <w:rsid w:val="009F0543"/>
    <w:rsid w:val="009F0DE1"/>
    <w:rsid w:val="009F2AC7"/>
    <w:rsid w:val="009F2CD3"/>
    <w:rsid w:val="009F2E82"/>
    <w:rsid w:val="00A017CB"/>
    <w:rsid w:val="00A01A3C"/>
    <w:rsid w:val="00A03023"/>
    <w:rsid w:val="00A03762"/>
    <w:rsid w:val="00A061F7"/>
    <w:rsid w:val="00A108AF"/>
    <w:rsid w:val="00A10E4B"/>
    <w:rsid w:val="00A12801"/>
    <w:rsid w:val="00A12E06"/>
    <w:rsid w:val="00A13E22"/>
    <w:rsid w:val="00A14E59"/>
    <w:rsid w:val="00A158EE"/>
    <w:rsid w:val="00A160A2"/>
    <w:rsid w:val="00A176AA"/>
    <w:rsid w:val="00A21ABF"/>
    <w:rsid w:val="00A227E8"/>
    <w:rsid w:val="00A22AB7"/>
    <w:rsid w:val="00A24B69"/>
    <w:rsid w:val="00A253F4"/>
    <w:rsid w:val="00A3164E"/>
    <w:rsid w:val="00A31FF9"/>
    <w:rsid w:val="00A328BC"/>
    <w:rsid w:val="00A35095"/>
    <w:rsid w:val="00A3576C"/>
    <w:rsid w:val="00A36165"/>
    <w:rsid w:val="00A4022F"/>
    <w:rsid w:val="00A4316A"/>
    <w:rsid w:val="00A443D2"/>
    <w:rsid w:val="00A45256"/>
    <w:rsid w:val="00A45773"/>
    <w:rsid w:val="00A45D8B"/>
    <w:rsid w:val="00A45FA1"/>
    <w:rsid w:val="00A513BA"/>
    <w:rsid w:val="00A53786"/>
    <w:rsid w:val="00A54287"/>
    <w:rsid w:val="00A54D9E"/>
    <w:rsid w:val="00A569B3"/>
    <w:rsid w:val="00A57300"/>
    <w:rsid w:val="00A5776E"/>
    <w:rsid w:val="00A60DA8"/>
    <w:rsid w:val="00A610B0"/>
    <w:rsid w:val="00A62B8E"/>
    <w:rsid w:val="00A62D51"/>
    <w:rsid w:val="00A64529"/>
    <w:rsid w:val="00A709E9"/>
    <w:rsid w:val="00A71651"/>
    <w:rsid w:val="00A72721"/>
    <w:rsid w:val="00A739F1"/>
    <w:rsid w:val="00A74D88"/>
    <w:rsid w:val="00A74E24"/>
    <w:rsid w:val="00A75129"/>
    <w:rsid w:val="00A75F65"/>
    <w:rsid w:val="00A77E58"/>
    <w:rsid w:val="00A80316"/>
    <w:rsid w:val="00A813A5"/>
    <w:rsid w:val="00A81641"/>
    <w:rsid w:val="00A85017"/>
    <w:rsid w:val="00A852E4"/>
    <w:rsid w:val="00A85A48"/>
    <w:rsid w:val="00A862B4"/>
    <w:rsid w:val="00A86404"/>
    <w:rsid w:val="00A87A83"/>
    <w:rsid w:val="00A87E36"/>
    <w:rsid w:val="00A95E50"/>
    <w:rsid w:val="00AA38CF"/>
    <w:rsid w:val="00AA556C"/>
    <w:rsid w:val="00AB2A51"/>
    <w:rsid w:val="00AB3896"/>
    <w:rsid w:val="00AB688A"/>
    <w:rsid w:val="00AB756A"/>
    <w:rsid w:val="00AC1D45"/>
    <w:rsid w:val="00AC6F3C"/>
    <w:rsid w:val="00AD5B08"/>
    <w:rsid w:val="00AD64C9"/>
    <w:rsid w:val="00AD78B0"/>
    <w:rsid w:val="00AE0F51"/>
    <w:rsid w:val="00AE109B"/>
    <w:rsid w:val="00AE1AD2"/>
    <w:rsid w:val="00AE26F7"/>
    <w:rsid w:val="00AE3558"/>
    <w:rsid w:val="00AE4FD3"/>
    <w:rsid w:val="00AE68A0"/>
    <w:rsid w:val="00AF1143"/>
    <w:rsid w:val="00AF3482"/>
    <w:rsid w:val="00AF4FB7"/>
    <w:rsid w:val="00AF51C5"/>
    <w:rsid w:val="00B00691"/>
    <w:rsid w:val="00B01A54"/>
    <w:rsid w:val="00B047CC"/>
    <w:rsid w:val="00B06408"/>
    <w:rsid w:val="00B07BBC"/>
    <w:rsid w:val="00B07D41"/>
    <w:rsid w:val="00B1099C"/>
    <w:rsid w:val="00B139F1"/>
    <w:rsid w:val="00B14A24"/>
    <w:rsid w:val="00B173DF"/>
    <w:rsid w:val="00B20E50"/>
    <w:rsid w:val="00B2179A"/>
    <w:rsid w:val="00B21969"/>
    <w:rsid w:val="00B2233B"/>
    <w:rsid w:val="00B23A1C"/>
    <w:rsid w:val="00B26850"/>
    <w:rsid w:val="00B318C0"/>
    <w:rsid w:val="00B329F8"/>
    <w:rsid w:val="00B32A3F"/>
    <w:rsid w:val="00B33923"/>
    <w:rsid w:val="00B34345"/>
    <w:rsid w:val="00B34814"/>
    <w:rsid w:val="00B34E35"/>
    <w:rsid w:val="00B34FAB"/>
    <w:rsid w:val="00B36A82"/>
    <w:rsid w:val="00B41EC7"/>
    <w:rsid w:val="00B423B4"/>
    <w:rsid w:val="00B43079"/>
    <w:rsid w:val="00B465CC"/>
    <w:rsid w:val="00B50792"/>
    <w:rsid w:val="00B50C6B"/>
    <w:rsid w:val="00B52D81"/>
    <w:rsid w:val="00B54BDB"/>
    <w:rsid w:val="00B56A85"/>
    <w:rsid w:val="00B60098"/>
    <w:rsid w:val="00B60AD4"/>
    <w:rsid w:val="00B60E96"/>
    <w:rsid w:val="00B61B8C"/>
    <w:rsid w:val="00B63EFE"/>
    <w:rsid w:val="00B65B54"/>
    <w:rsid w:val="00B66895"/>
    <w:rsid w:val="00B678DE"/>
    <w:rsid w:val="00B75A51"/>
    <w:rsid w:val="00B75C81"/>
    <w:rsid w:val="00B75F92"/>
    <w:rsid w:val="00B7684D"/>
    <w:rsid w:val="00B77E4C"/>
    <w:rsid w:val="00B81CDD"/>
    <w:rsid w:val="00B834CC"/>
    <w:rsid w:val="00B84027"/>
    <w:rsid w:val="00B84802"/>
    <w:rsid w:val="00B84C68"/>
    <w:rsid w:val="00B852A3"/>
    <w:rsid w:val="00B8690B"/>
    <w:rsid w:val="00B90547"/>
    <w:rsid w:val="00B915F3"/>
    <w:rsid w:val="00B92F56"/>
    <w:rsid w:val="00B9464C"/>
    <w:rsid w:val="00B97322"/>
    <w:rsid w:val="00BA1129"/>
    <w:rsid w:val="00BA321F"/>
    <w:rsid w:val="00BA32EA"/>
    <w:rsid w:val="00BA4E72"/>
    <w:rsid w:val="00BA73E7"/>
    <w:rsid w:val="00BA7F62"/>
    <w:rsid w:val="00BB07E2"/>
    <w:rsid w:val="00BB22EA"/>
    <w:rsid w:val="00BB3185"/>
    <w:rsid w:val="00BB56BC"/>
    <w:rsid w:val="00BC1B5D"/>
    <w:rsid w:val="00BC5846"/>
    <w:rsid w:val="00BC5BDC"/>
    <w:rsid w:val="00BD2E89"/>
    <w:rsid w:val="00BD4093"/>
    <w:rsid w:val="00BD5056"/>
    <w:rsid w:val="00BD7471"/>
    <w:rsid w:val="00BE0C5B"/>
    <w:rsid w:val="00BE0E07"/>
    <w:rsid w:val="00BE254C"/>
    <w:rsid w:val="00BE2846"/>
    <w:rsid w:val="00BE6376"/>
    <w:rsid w:val="00BE7F4B"/>
    <w:rsid w:val="00BF0CB1"/>
    <w:rsid w:val="00BF3092"/>
    <w:rsid w:val="00BF4A5B"/>
    <w:rsid w:val="00BF51D8"/>
    <w:rsid w:val="00BF56B8"/>
    <w:rsid w:val="00BF6285"/>
    <w:rsid w:val="00BF6CC5"/>
    <w:rsid w:val="00BF72A2"/>
    <w:rsid w:val="00C01647"/>
    <w:rsid w:val="00C02412"/>
    <w:rsid w:val="00C035BC"/>
    <w:rsid w:val="00C04211"/>
    <w:rsid w:val="00C05074"/>
    <w:rsid w:val="00C05889"/>
    <w:rsid w:val="00C0706F"/>
    <w:rsid w:val="00C0769A"/>
    <w:rsid w:val="00C07DE9"/>
    <w:rsid w:val="00C10731"/>
    <w:rsid w:val="00C12074"/>
    <w:rsid w:val="00C12B9B"/>
    <w:rsid w:val="00C12C69"/>
    <w:rsid w:val="00C13C26"/>
    <w:rsid w:val="00C13F5A"/>
    <w:rsid w:val="00C17284"/>
    <w:rsid w:val="00C17303"/>
    <w:rsid w:val="00C17B79"/>
    <w:rsid w:val="00C2034D"/>
    <w:rsid w:val="00C204BC"/>
    <w:rsid w:val="00C21EAE"/>
    <w:rsid w:val="00C24F61"/>
    <w:rsid w:val="00C256D4"/>
    <w:rsid w:val="00C25A1E"/>
    <w:rsid w:val="00C2611A"/>
    <w:rsid w:val="00C312A6"/>
    <w:rsid w:val="00C341D6"/>
    <w:rsid w:val="00C34295"/>
    <w:rsid w:val="00C36C92"/>
    <w:rsid w:val="00C37348"/>
    <w:rsid w:val="00C37926"/>
    <w:rsid w:val="00C443F1"/>
    <w:rsid w:val="00C44C6C"/>
    <w:rsid w:val="00C47DAD"/>
    <w:rsid w:val="00C50F37"/>
    <w:rsid w:val="00C6013A"/>
    <w:rsid w:val="00C61438"/>
    <w:rsid w:val="00C6222E"/>
    <w:rsid w:val="00C626FE"/>
    <w:rsid w:val="00C64C47"/>
    <w:rsid w:val="00C64F1D"/>
    <w:rsid w:val="00C67022"/>
    <w:rsid w:val="00C67780"/>
    <w:rsid w:val="00C705C1"/>
    <w:rsid w:val="00C739C9"/>
    <w:rsid w:val="00C747F4"/>
    <w:rsid w:val="00C774B0"/>
    <w:rsid w:val="00C814B9"/>
    <w:rsid w:val="00C823FE"/>
    <w:rsid w:val="00C90300"/>
    <w:rsid w:val="00C91B56"/>
    <w:rsid w:val="00C92C57"/>
    <w:rsid w:val="00C942F1"/>
    <w:rsid w:val="00C944BA"/>
    <w:rsid w:val="00C94EE8"/>
    <w:rsid w:val="00C970B9"/>
    <w:rsid w:val="00CA028A"/>
    <w:rsid w:val="00CA2163"/>
    <w:rsid w:val="00CA5707"/>
    <w:rsid w:val="00CA6093"/>
    <w:rsid w:val="00CB33BC"/>
    <w:rsid w:val="00CB3C1D"/>
    <w:rsid w:val="00CB40A1"/>
    <w:rsid w:val="00CB4542"/>
    <w:rsid w:val="00CB6641"/>
    <w:rsid w:val="00CC32FC"/>
    <w:rsid w:val="00CC7C0B"/>
    <w:rsid w:val="00CD1475"/>
    <w:rsid w:val="00CD1F5B"/>
    <w:rsid w:val="00CD25AB"/>
    <w:rsid w:val="00CD62ED"/>
    <w:rsid w:val="00CD6901"/>
    <w:rsid w:val="00CD726C"/>
    <w:rsid w:val="00CE0C55"/>
    <w:rsid w:val="00CE1589"/>
    <w:rsid w:val="00CE25A2"/>
    <w:rsid w:val="00CE2B5C"/>
    <w:rsid w:val="00CE4E6D"/>
    <w:rsid w:val="00CE4F0C"/>
    <w:rsid w:val="00CE57EC"/>
    <w:rsid w:val="00CF0E27"/>
    <w:rsid w:val="00CF13DF"/>
    <w:rsid w:val="00CF19FA"/>
    <w:rsid w:val="00CF37A4"/>
    <w:rsid w:val="00CF4E45"/>
    <w:rsid w:val="00D0333D"/>
    <w:rsid w:val="00D0780D"/>
    <w:rsid w:val="00D113C2"/>
    <w:rsid w:val="00D11AAF"/>
    <w:rsid w:val="00D1626C"/>
    <w:rsid w:val="00D219E4"/>
    <w:rsid w:val="00D21BFB"/>
    <w:rsid w:val="00D24586"/>
    <w:rsid w:val="00D30372"/>
    <w:rsid w:val="00D30AA4"/>
    <w:rsid w:val="00D30CA6"/>
    <w:rsid w:val="00D33BB0"/>
    <w:rsid w:val="00D346D0"/>
    <w:rsid w:val="00D3521C"/>
    <w:rsid w:val="00D37086"/>
    <w:rsid w:val="00D37492"/>
    <w:rsid w:val="00D4445D"/>
    <w:rsid w:val="00D44F55"/>
    <w:rsid w:val="00D50B6A"/>
    <w:rsid w:val="00D53643"/>
    <w:rsid w:val="00D60675"/>
    <w:rsid w:val="00D61020"/>
    <w:rsid w:val="00D62FE8"/>
    <w:rsid w:val="00D6336E"/>
    <w:rsid w:val="00D64D1A"/>
    <w:rsid w:val="00D65CFB"/>
    <w:rsid w:val="00D66BEB"/>
    <w:rsid w:val="00D7044E"/>
    <w:rsid w:val="00D70F38"/>
    <w:rsid w:val="00D73931"/>
    <w:rsid w:val="00D7452D"/>
    <w:rsid w:val="00D762AE"/>
    <w:rsid w:val="00D84AE3"/>
    <w:rsid w:val="00D860E9"/>
    <w:rsid w:val="00D86C52"/>
    <w:rsid w:val="00D922B7"/>
    <w:rsid w:val="00D968B2"/>
    <w:rsid w:val="00DA1242"/>
    <w:rsid w:val="00DA2EAD"/>
    <w:rsid w:val="00DA400B"/>
    <w:rsid w:val="00DA4E31"/>
    <w:rsid w:val="00DB14AB"/>
    <w:rsid w:val="00DB1C8E"/>
    <w:rsid w:val="00DB1F31"/>
    <w:rsid w:val="00DB3080"/>
    <w:rsid w:val="00DB3ECB"/>
    <w:rsid w:val="00DB6D6E"/>
    <w:rsid w:val="00DC173E"/>
    <w:rsid w:val="00DC29B5"/>
    <w:rsid w:val="00DC33D4"/>
    <w:rsid w:val="00DC5310"/>
    <w:rsid w:val="00DC57B1"/>
    <w:rsid w:val="00DC6E2C"/>
    <w:rsid w:val="00DD0034"/>
    <w:rsid w:val="00DD00EA"/>
    <w:rsid w:val="00DD01F7"/>
    <w:rsid w:val="00DD314D"/>
    <w:rsid w:val="00DD31A8"/>
    <w:rsid w:val="00DD5C1E"/>
    <w:rsid w:val="00DE0057"/>
    <w:rsid w:val="00DE07D3"/>
    <w:rsid w:val="00DE0F4E"/>
    <w:rsid w:val="00DE1792"/>
    <w:rsid w:val="00DE24DB"/>
    <w:rsid w:val="00DE34B1"/>
    <w:rsid w:val="00DE360C"/>
    <w:rsid w:val="00DE43C4"/>
    <w:rsid w:val="00DE58A9"/>
    <w:rsid w:val="00DE5D92"/>
    <w:rsid w:val="00DE72B2"/>
    <w:rsid w:val="00DF0694"/>
    <w:rsid w:val="00DF0AEA"/>
    <w:rsid w:val="00DF1982"/>
    <w:rsid w:val="00DF255D"/>
    <w:rsid w:val="00DF265D"/>
    <w:rsid w:val="00DF28A8"/>
    <w:rsid w:val="00DF2E05"/>
    <w:rsid w:val="00DF4C19"/>
    <w:rsid w:val="00DF6283"/>
    <w:rsid w:val="00DF76E8"/>
    <w:rsid w:val="00DF7D19"/>
    <w:rsid w:val="00DF7D26"/>
    <w:rsid w:val="00E00927"/>
    <w:rsid w:val="00E00B60"/>
    <w:rsid w:val="00E0687E"/>
    <w:rsid w:val="00E07FD3"/>
    <w:rsid w:val="00E11442"/>
    <w:rsid w:val="00E12ADE"/>
    <w:rsid w:val="00E13D11"/>
    <w:rsid w:val="00E151B2"/>
    <w:rsid w:val="00E2087A"/>
    <w:rsid w:val="00E24A03"/>
    <w:rsid w:val="00E32EA5"/>
    <w:rsid w:val="00E353B1"/>
    <w:rsid w:val="00E35A56"/>
    <w:rsid w:val="00E37822"/>
    <w:rsid w:val="00E41C00"/>
    <w:rsid w:val="00E4222B"/>
    <w:rsid w:val="00E43D09"/>
    <w:rsid w:val="00E45776"/>
    <w:rsid w:val="00E472C7"/>
    <w:rsid w:val="00E54718"/>
    <w:rsid w:val="00E5745D"/>
    <w:rsid w:val="00E57711"/>
    <w:rsid w:val="00E57814"/>
    <w:rsid w:val="00E602CC"/>
    <w:rsid w:val="00E604AA"/>
    <w:rsid w:val="00E61247"/>
    <w:rsid w:val="00E62AFC"/>
    <w:rsid w:val="00E64E03"/>
    <w:rsid w:val="00E672FB"/>
    <w:rsid w:val="00E731A7"/>
    <w:rsid w:val="00E7565F"/>
    <w:rsid w:val="00E81AED"/>
    <w:rsid w:val="00E81BBD"/>
    <w:rsid w:val="00E85A55"/>
    <w:rsid w:val="00E87C06"/>
    <w:rsid w:val="00E930D3"/>
    <w:rsid w:val="00E93B59"/>
    <w:rsid w:val="00E95A3A"/>
    <w:rsid w:val="00E96519"/>
    <w:rsid w:val="00E97E92"/>
    <w:rsid w:val="00EA251C"/>
    <w:rsid w:val="00EA3678"/>
    <w:rsid w:val="00EA72D8"/>
    <w:rsid w:val="00EB0B4D"/>
    <w:rsid w:val="00EB2DBA"/>
    <w:rsid w:val="00EB4453"/>
    <w:rsid w:val="00EB5BC4"/>
    <w:rsid w:val="00EB6FBF"/>
    <w:rsid w:val="00EC397B"/>
    <w:rsid w:val="00EC42EA"/>
    <w:rsid w:val="00EC7F1D"/>
    <w:rsid w:val="00ED0E40"/>
    <w:rsid w:val="00ED1210"/>
    <w:rsid w:val="00ED225D"/>
    <w:rsid w:val="00ED35B0"/>
    <w:rsid w:val="00ED40F1"/>
    <w:rsid w:val="00ED4DD3"/>
    <w:rsid w:val="00ED7D27"/>
    <w:rsid w:val="00ED7E23"/>
    <w:rsid w:val="00EE06ED"/>
    <w:rsid w:val="00EE1B95"/>
    <w:rsid w:val="00EE1E5D"/>
    <w:rsid w:val="00EE20D0"/>
    <w:rsid w:val="00EE463F"/>
    <w:rsid w:val="00EE4AD2"/>
    <w:rsid w:val="00EE682E"/>
    <w:rsid w:val="00EE7A5F"/>
    <w:rsid w:val="00EF01DD"/>
    <w:rsid w:val="00EF12A7"/>
    <w:rsid w:val="00EF1A0F"/>
    <w:rsid w:val="00EF2133"/>
    <w:rsid w:val="00EF269E"/>
    <w:rsid w:val="00EF2D3C"/>
    <w:rsid w:val="00EF6B1E"/>
    <w:rsid w:val="00F026E9"/>
    <w:rsid w:val="00F04C34"/>
    <w:rsid w:val="00F0545E"/>
    <w:rsid w:val="00F063B6"/>
    <w:rsid w:val="00F066DF"/>
    <w:rsid w:val="00F101C3"/>
    <w:rsid w:val="00F10A86"/>
    <w:rsid w:val="00F159F3"/>
    <w:rsid w:val="00F15A13"/>
    <w:rsid w:val="00F15CBA"/>
    <w:rsid w:val="00F15CF2"/>
    <w:rsid w:val="00F16EAB"/>
    <w:rsid w:val="00F210A4"/>
    <w:rsid w:val="00F22561"/>
    <w:rsid w:val="00F263EB"/>
    <w:rsid w:val="00F26C56"/>
    <w:rsid w:val="00F27A09"/>
    <w:rsid w:val="00F302DC"/>
    <w:rsid w:val="00F3234E"/>
    <w:rsid w:val="00F366E8"/>
    <w:rsid w:val="00F4296C"/>
    <w:rsid w:val="00F4417C"/>
    <w:rsid w:val="00F44BB3"/>
    <w:rsid w:val="00F452E3"/>
    <w:rsid w:val="00F47C09"/>
    <w:rsid w:val="00F47CF6"/>
    <w:rsid w:val="00F50125"/>
    <w:rsid w:val="00F5058E"/>
    <w:rsid w:val="00F50684"/>
    <w:rsid w:val="00F5270F"/>
    <w:rsid w:val="00F54885"/>
    <w:rsid w:val="00F61AB0"/>
    <w:rsid w:val="00F646DA"/>
    <w:rsid w:val="00F65BA6"/>
    <w:rsid w:val="00F7530D"/>
    <w:rsid w:val="00F808A3"/>
    <w:rsid w:val="00F8106B"/>
    <w:rsid w:val="00F824C0"/>
    <w:rsid w:val="00F831C2"/>
    <w:rsid w:val="00F86FBD"/>
    <w:rsid w:val="00F872B5"/>
    <w:rsid w:val="00F873C4"/>
    <w:rsid w:val="00F90A93"/>
    <w:rsid w:val="00F90F75"/>
    <w:rsid w:val="00F914C0"/>
    <w:rsid w:val="00F92CAC"/>
    <w:rsid w:val="00F942E5"/>
    <w:rsid w:val="00F97D7C"/>
    <w:rsid w:val="00F97F9E"/>
    <w:rsid w:val="00FA0425"/>
    <w:rsid w:val="00FA384F"/>
    <w:rsid w:val="00FA40C1"/>
    <w:rsid w:val="00FA5B89"/>
    <w:rsid w:val="00FB195C"/>
    <w:rsid w:val="00FB1DFF"/>
    <w:rsid w:val="00FB37B5"/>
    <w:rsid w:val="00FB3AB4"/>
    <w:rsid w:val="00FC2025"/>
    <w:rsid w:val="00FC57EA"/>
    <w:rsid w:val="00FD0275"/>
    <w:rsid w:val="00FD267D"/>
    <w:rsid w:val="00FD478C"/>
    <w:rsid w:val="00FD55F3"/>
    <w:rsid w:val="00FD730B"/>
    <w:rsid w:val="00FD7CAD"/>
    <w:rsid w:val="00FE45EF"/>
    <w:rsid w:val="00FE5C67"/>
    <w:rsid w:val="00FE71F1"/>
    <w:rsid w:val="00FE779E"/>
    <w:rsid w:val="00FF0F19"/>
    <w:rsid w:val="00FF19B0"/>
    <w:rsid w:val="00FF212C"/>
    <w:rsid w:val="00FF3198"/>
    <w:rsid w:val="00FF4286"/>
    <w:rsid w:val="00FF59DB"/>
    <w:rsid w:val="08191D6D"/>
    <w:rsid w:val="0AF62B13"/>
    <w:rsid w:val="0E601EEA"/>
    <w:rsid w:val="12D7558D"/>
    <w:rsid w:val="20B73244"/>
    <w:rsid w:val="24594F29"/>
    <w:rsid w:val="302D2F5A"/>
    <w:rsid w:val="30DB0AE3"/>
    <w:rsid w:val="34440AB7"/>
    <w:rsid w:val="34B715BD"/>
    <w:rsid w:val="38686C22"/>
    <w:rsid w:val="3BBB7324"/>
    <w:rsid w:val="3D733D0D"/>
    <w:rsid w:val="4B234021"/>
    <w:rsid w:val="590E0324"/>
    <w:rsid w:val="614D7A91"/>
    <w:rsid w:val="666C2141"/>
    <w:rsid w:val="730E3B0B"/>
    <w:rsid w:val="79F96FED"/>
    <w:rsid w:val="7CD563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29"/>
    <w:qFormat/>
    <w:locked/>
    <w:uiPriority w:val="99"/>
    <w:pPr>
      <w:ind w:firstLine="420"/>
    </w:pPr>
    <w:rPr>
      <w:rFonts w:ascii="Calibri" w:hAnsi="Calibri"/>
    </w:rPr>
  </w:style>
  <w:style w:type="paragraph" w:styleId="3">
    <w:name w:val="annotation text"/>
    <w:basedOn w:val="1"/>
    <w:link w:val="17"/>
    <w:semiHidden/>
    <w:qFormat/>
    <w:uiPriority w:val="99"/>
    <w:pPr>
      <w:jc w:val="left"/>
    </w:pPr>
    <w:rPr>
      <w:rFonts w:ascii="Calibri" w:hAnsi="Calibri"/>
    </w:rPr>
  </w:style>
  <w:style w:type="paragraph" w:styleId="4">
    <w:name w:val="Body Text Indent"/>
    <w:basedOn w:val="1"/>
    <w:link w:val="18"/>
    <w:qFormat/>
    <w:locked/>
    <w:uiPriority w:val="99"/>
    <w:pPr>
      <w:tabs>
        <w:tab w:val="left" w:pos="900"/>
      </w:tabs>
      <w:adjustRightInd w:val="0"/>
      <w:spacing w:line="360" w:lineRule="auto"/>
      <w:ind w:firstLine="510"/>
    </w:pPr>
    <w:rPr>
      <w:kern w:val="0"/>
      <w:sz w:val="20"/>
    </w:rPr>
  </w:style>
  <w:style w:type="paragraph" w:styleId="5">
    <w:name w:val="Plain Text"/>
    <w:basedOn w:val="1"/>
    <w:link w:val="25"/>
    <w:qFormat/>
    <w:uiPriority w:val="99"/>
    <w:rPr>
      <w:rFonts w:ascii="宋体" w:hAnsi="Courier New"/>
      <w:kern w:val="0"/>
    </w:rPr>
  </w:style>
  <w:style w:type="paragraph" w:styleId="6">
    <w:name w:val="Balloon Text"/>
    <w:basedOn w:val="1"/>
    <w:link w:val="20"/>
    <w:semiHidden/>
    <w:qFormat/>
    <w:uiPriority w:val="99"/>
    <w:rPr>
      <w:sz w:val="18"/>
    </w:rPr>
  </w:style>
  <w:style w:type="paragraph" w:styleId="7">
    <w:name w:val="footer"/>
    <w:basedOn w:val="1"/>
    <w:link w:val="21"/>
    <w:semiHidden/>
    <w:qFormat/>
    <w:uiPriority w:val="99"/>
    <w:pPr>
      <w:tabs>
        <w:tab w:val="center" w:pos="4153"/>
        <w:tab w:val="right" w:pos="8306"/>
      </w:tabs>
      <w:snapToGrid w:val="0"/>
      <w:jc w:val="left"/>
    </w:pPr>
    <w:rPr>
      <w:kern w:val="0"/>
      <w:sz w:val="18"/>
    </w:rPr>
  </w:style>
  <w:style w:type="paragraph" w:styleId="8">
    <w:name w:val="header"/>
    <w:basedOn w:val="1"/>
    <w:link w:val="22"/>
    <w:semiHidden/>
    <w:qFormat/>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qFormat/>
    <w:uiPriority w:val="99"/>
    <w:rPr>
      <w:rFonts w:ascii="Times New Roman" w:hAnsi="Times New Roman"/>
      <w:b/>
      <w:sz w:val="20"/>
    </w:rPr>
  </w:style>
  <w:style w:type="table" w:styleId="12">
    <w:name w:val="Table Grid"/>
    <w:basedOn w:val="11"/>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qFormat/>
    <w:uiPriority w:val="99"/>
    <w:rPr>
      <w:rFonts w:cs="Times New Roman"/>
    </w:rPr>
  </w:style>
  <w:style w:type="character" w:styleId="15">
    <w:name w:val="Hyperlink"/>
    <w:qFormat/>
    <w:locked/>
    <w:uiPriority w:val="99"/>
    <w:rPr>
      <w:rFonts w:cs="Times New Roman"/>
      <w:color w:val="0000FF"/>
      <w:u w:val="single"/>
    </w:rPr>
  </w:style>
  <w:style w:type="character" w:styleId="16">
    <w:name w:val="annotation reference"/>
    <w:semiHidden/>
    <w:qFormat/>
    <w:uiPriority w:val="99"/>
    <w:rPr>
      <w:rFonts w:cs="Times New Roman"/>
      <w:sz w:val="21"/>
    </w:rPr>
  </w:style>
  <w:style w:type="character" w:customStyle="1" w:styleId="17">
    <w:name w:val="批注文字 字符"/>
    <w:link w:val="3"/>
    <w:semiHidden/>
    <w:qFormat/>
    <w:locked/>
    <w:uiPriority w:val="99"/>
    <w:rPr>
      <w:rFonts w:eastAsia="宋体" w:cs="Times New Roman"/>
      <w:kern w:val="2"/>
      <w:sz w:val="21"/>
      <w:lang w:val="en-US" w:eastAsia="zh-CN"/>
    </w:rPr>
  </w:style>
  <w:style w:type="character" w:customStyle="1" w:styleId="18">
    <w:name w:val="正文文本缩进 字符"/>
    <w:link w:val="4"/>
    <w:semiHidden/>
    <w:qFormat/>
    <w:locked/>
    <w:uiPriority w:val="99"/>
    <w:rPr>
      <w:rFonts w:ascii="Times New Roman" w:hAnsi="Times New Roman" w:cs="Times New Roman"/>
      <w:sz w:val="20"/>
      <w:szCs w:val="20"/>
    </w:rPr>
  </w:style>
  <w:style w:type="character" w:customStyle="1" w:styleId="19">
    <w:name w:val="Plain Text Char"/>
    <w:qFormat/>
    <w:locked/>
    <w:uiPriority w:val="99"/>
    <w:rPr>
      <w:rFonts w:ascii="宋体" w:hAnsi="Courier New" w:eastAsia="宋体" w:cs="Times New Roman"/>
      <w:sz w:val="21"/>
    </w:rPr>
  </w:style>
  <w:style w:type="character" w:customStyle="1" w:styleId="20">
    <w:name w:val="批注框文本 字符"/>
    <w:link w:val="6"/>
    <w:semiHidden/>
    <w:qFormat/>
    <w:locked/>
    <w:uiPriority w:val="99"/>
    <w:rPr>
      <w:rFonts w:ascii="Times New Roman" w:hAnsi="Times New Roman" w:cs="Times New Roman"/>
      <w:kern w:val="2"/>
      <w:sz w:val="18"/>
    </w:rPr>
  </w:style>
  <w:style w:type="character" w:customStyle="1" w:styleId="21">
    <w:name w:val="页脚 字符"/>
    <w:link w:val="7"/>
    <w:semiHidden/>
    <w:qFormat/>
    <w:locked/>
    <w:uiPriority w:val="99"/>
    <w:rPr>
      <w:rFonts w:ascii="Times New Roman" w:hAnsi="Times New Roman" w:eastAsia="宋体" w:cs="Times New Roman"/>
      <w:sz w:val="18"/>
    </w:rPr>
  </w:style>
  <w:style w:type="character" w:customStyle="1" w:styleId="22">
    <w:name w:val="页眉 字符"/>
    <w:link w:val="8"/>
    <w:semiHidden/>
    <w:qFormat/>
    <w:locked/>
    <w:uiPriority w:val="99"/>
    <w:rPr>
      <w:rFonts w:ascii="Times New Roman" w:hAnsi="Times New Roman" w:eastAsia="宋体" w:cs="Times New Roman"/>
      <w:sz w:val="18"/>
    </w:rPr>
  </w:style>
  <w:style w:type="character" w:customStyle="1" w:styleId="23">
    <w:name w:val="批注主题 字符"/>
    <w:link w:val="10"/>
    <w:semiHidden/>
    <w:qFormat/>
    <w:locked/>
    <w:uiPriority w:val="99"/>
    <w:rPr>
      <w:rFonts w:ascii="Times New Roman" w:hAnsi="Times New Roman" w:eastAsia="宋体" w:cs="Times New Roman"/>
      <w:b/>
      <w:kern w:val="2"/>
      <w:sz w:val="20"/>
      <w:lang w:val="en-US" w:eastAsia="zh-CN"/>
    </w:rPr>
  </w:style>
  <w:style w:type="character" w:customStyle="1" w:styleId="24">
    <w:name w:val="Plain Text Char1"/>
    <w:semiHidden/>
    <w:qFormat/>
    <w:locked/>
    <w:uiPriority w:val="99"/>
    <w:rPr>
      <w:rFonts w:ascii="宋体" w:hAnsi="Courier New"/>
      <w:sz w:val="21"/>
    </w:rPr>
  </w:style>
  <w:style w:type="character" w:customStyle="1" w:styleId="25">
    <w:name w:val="纯文本 字符"/>
    <w:link w:val="5"/>
    <w:semiHidden/>
    <w:qFormat/>
    <w:locked/>
    <w:uiPriority w:val="99"/>
    <w:rPr>
      <w:rFonts w:ascii="宋体" w:hAnsi="Courier New" w:eastAsia="宋体"/>
      <w:sz w:val="21"/>
    </w:rPr>
  </w:style>
  <w:style w:type="paragraph" w:styleId="26">
    <w:name w:val="List Paragraph"/>
    <w:basedOn w:val="1"/>
    <w:qFormat/>
    <w:uiPriority w:val="34"/>
    <w:pPr>
      <w:ind w:firstLine="420" w:firstLineChars="200"/>
    </w:pPr>
  </w:style>
  <w:style w:type="character" w:customStyle="1" w:styleId="27">
    <w:name w:val="纯文本 Char"/>
    <w:qFormat/>
    <w:uiPriority w:val="99"/>
    <w:rPr>
      <w:rFonts w:ascii="宋体" w:hAnsi="Courier New" w:eastAsia="宋体"/>
      <w:kern w:val="2"/>
      <w:sz w:val="21"/>
      <w:lang w:val="en-US" w:eastAsia="zh-CN"/>
    </w:rPr>
  </w:style>
  <w:style w:type="character" w:customStyle="1" w:styleId="28">
    <w:name w:val="Char Char3"/>
    <w:qFormat/>
    <w:uiPriority w:val="99"/>
    <w:rPr>
      <w:rFonts w:ascii="宋体" w:hAnsi="Courier New" w:eastAsia="宋体"/>
      <w:kern w:val="2"/>
      <w:sz w:val="21"/>
      <w:lang w:val="en-US" w:eastAsia="zh-CN"/>
    </w:rPr>
  </w:style>
  <w:style w:type="character" w:customStyle="1" w:styleId="29">
    <w:name w:val="正文缩进 字符"/>
    <w:link w:val="2"/>
    <w:qFormat/>
    <w:locked/>
    <w:uiPriority w:val="99"/>
    <w:rPr>
      <w:kern w:val="2"/>
      <w:sz w:val="21"/>
    </w:rPr>
  </w:style>
  <w:style w:type="paragraph" w:customStyle="1" w:styleId="30">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090FE-441D-4072-A501-CE863DF49E72}">
  <ds:schemaRefs/>
</ds:datastoreItem>
</file>

<file path=docProps/app.xml><?xml version="1.0" encoding="utf-8"?>
<Properties xmlns="http://schemas.openxmlformats.org/officeDocument/2006/extended-properties" xmlns:vt="http://schemas.openxmlformats.org/officeDocument/2006/docPropsVTypes">
  <Template>Normal</Template>
  <Pages>28</Pages>
  <Words>2592</Words>
  <Characters>14780</Characters>
  <Lines>123</Lines>
  <Paragraphs>34</Paragraphs>
  <TotalTime>29</TotalTime>
  <ScaleCrop>false</ScaleCrop>
  <LinksUpToDate>false</LinksUpToDate>
  <CharactersWithSpaces>17338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2019-05-15T06:11:00Z</dcterms:created>
  <dc:creator>fan</dc:creator>
  <cp:lastModifiedBy>王树乔</cp:lastModifiedBy>
  <cp:lastPrinted>2019-05-08T08:08:00Z</cp:lastPrinted>
  <dcterms:modified xsi:type="dcterms:W3CDTF">2019-05-29T09:27:23Z</dcterms:modified>
  <dc:title>淮阴工学院</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