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ind w:left="106" w:hanging="105" w:hangingChars="24"/>
        <w:jc w:val="center"/>
        <w:rPr>
          <w:rFonts w:ascii="方正小标宋简体" w:hAnsi="宋体" w:eastAsia="方正小标宋简体"/>
          <w:b/>
          <w:kern w:val="0"/>
          <w:sz w:val="44"/>
          <w:szCs w:val="44"/>
        </w:rPr>
      </w:pPr>
      <w:r>
        <w:rPr>
          <w:rFonts w:hint="eastAsia" w:ascii="方正小标宋简体" w:hAnsi="宋体" w:eastAsia="方正小标宋简体"/>
          <w:b/>
          <w:kern w:val="0"/>
          <w:sz w:val="44"/>
          <w:szCs w:val="44"/>
        </w:rPr>
        <w:t>计算机学院</w:t>
      </w:r>
      <w:r>
        <w:rPr>
          <w:rFonts w:ascii="方正小标宋简体" w:hAnsi="宋体" w:eastAsia="方正小标宋简体"/>
          <w:b/>
          <w:kern w:val="0"/>
          <w:sz w:val="44"/>
          <w:szCs w:val="44"/>
        </w:rPr>
        <w:t>11</w:t>
      </w:r>
      <w:r>
        <w:rPr>
          <w:rFonts w:hint="eastAsia" w:ascii="方正小标宋简体" w:hAnsi="宋体" w:eastAsia="方正小标宋简体"/>
          <w:b/>
          <w:kern w:val="0"/>
          <w:sz w:val="44"/>
          <w:szCs w:val="44"/>
        </w:rPr>
        <w:t>号楼（知行楼）</w:t>
      </w:r>
    </w:p>
    <w:p>
      <w:pPr>
        <w:spacing w:line="480" w:lineRule="auto"/>
        <w:jc w:val="center"/>
        <w:rPr>
          <w:rFonts w:hint="default" w:ascii="黑体" w:hAnsi="黑体" w:eastAsia="方正小标宋简体"/>
          <w:color w:val="000000"/>
          <w:kern w:val="0"/>
          <w:sz w:val="36"/>
          <w:szCs w:val="36"/>
          <w:lang w:val="en-US"/>
        </w:rPr>
      </w:pPr>
      <w:r>
        <w:rPr>
          <w:rFonts w:ascii="方正小标宋简体" w:hAnsi="宋体" w:eastAsia="方正小标宋简体"/>
          <w:b/>
          <w:kern w:val="0"/>
          <w:sz w:val="44"/>
          <w:szCs w:val="44"/>
        </w:rPr>
        <w:t>72</w:t>
      </w:r>
      <w:r>
        <w:rPr>
          <w:rFonts w:hint="eastAsia" w:ascii="方正小标宋简体" w:hAnsi="宋体" w:eastAsia="方正小标宋简体"/>
          <w:b/>
          <w:kern w:val="0"/>
          <w:sz w:val="44"/>
          <w:szCs w:val="44"/>
        </w:rPr>
        <w:t>樘木门</w:t>
      </w:r>
      <w:r>
        <w:rPr>
          <w:rFonts w:hint="eastAsia" w:ascii="方正小标宋简体" w:hAnsi="宋体" w:eastAsia="方正小标宋简体"/>
          <w:b/>
          <w:kern w:val="0"/>
          <w:sz w:val="44"/>
          <w:szCs w:val="44"/>
          <w:lang w:val="en-US" w:eastAsia="zh-CN"/>
        </w:rPr>
        <w:t>拆除与更换安装工程</w:t>
      </w: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黑体" w:eastAsia="黑体"/>
          <w:snapToGrid w:val="0"/>
          <w:color w:val="000000"/>
          <w:szCs w:val="21"/>
          <w:lang w:val="en-US"/>
        </w:rPr>
      </w:pPr>
      <w:r>
        <w:rPr>
          <w:rFonts w:hint="eastAsia" w:ascii="宋体" w:hAnsi="宋体"/>
          <w:snapToGrid w:val="0"/>
          <w:color w:val="000000"/>
          <w:sz w:val="24"/>
          <w:szCs w:val="24"/>
        </w:rPr>
        <w:t>项目编号：</w:t>
      </w:r>
      <w:r>
        <w:rPr>
          <w:rFonts w:ascii="宋体" w:hAnsi="宋体"/>
          <w:snapToGrid w:val="0"/>
          <w:color w:val="000000"/>
          <w:sz w:val="24"/>
          <w:szCs w:val="24"/>
        </w:rPr>
        <w:t>HGZB201900</w:t>
      </w:r>
      <w:r>
        <w:rPr>
          <w:rFonts w:hint="eastAsia" w:ascii="宋体" w:hAnsi="宋体"/>
          <w:snapToGrid w:val="0"/>
          <w:color w:val="000000"/>
          <w:sz w:val="24"/>
          <w:szCs w:val="24"/>
          <w:lang w:val="en-US" w:eastAsia="zh-CN"/>
        </w:rPr>
        <w:t xml:space="preserve">59   </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07</w:t>
      </w:r>
      <w:r>
        <w:rPr>
          <w:rFonts w:hint="eastAsia" w:ascii="黑体" w:hAnsi="黑体" w:eastAsia="黑体"/>
          <w:b/>
          <w:color w:val="000000"/>
          <w:sz w:val="30"/>
          <w:szCs w:val="30"/>
        </w:rPr>
        <w:t>月</w:t>
      </w:r>
      <w:r>
        <w:rPr>
          <w:rFonts w:ascii="黑体" w:hAnsi="黑体" w:eastAsia="黑体"/>
          <w:b/>
          <w:color w:val="000000"/>
          <w:sz w:val="30"/>
          <w:szCs w:val="30"/>
        </w:rPr>
        <w:t xml:space="preserve"> </w:t>
      </w:r>
      <w:r>
        <w:rPr>
          <w:rFonts w:hint="eastAsia" w:ascii="黑体" w:hAnsi="黑体" w:eastAsia="黑体"/>
          <w:b/>
          <w:color w:val="000000"/>
          <w:sz w:val="30"/>
          <w:szCs w:val="30"/>
          <w:lang w:val="en-US" w:eastAsia="zh-CN"/>
        </w:rPr>
        <w:t>26</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pPr>
        <w:spacing w:line="680" w:lineRule="exact"/>
        <w:rPr>
          <w:rFonts w:hint="default" w:eastAsia="宋体"/>
          <w:color w:val="000000"/>
          <w:sz w:val="28"/>
          <w:lang w:val="en-US"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lang w:val="en-US" w:eastAsia="zh-CN"/>
        </w:rPr>
        <w:t>15</w:t>
      </w:r>
      <w:bookmarkStart w:id="2" w:name="_GoBack"/>
      <w:bookmarkEnd w:id="2"/>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r>
        <w:rPr>
          <w:rFonts w:hint="eastAsia"/>
          <w:color w:val="000000"/>
          <w:sz w:val="28"/>
          <w:lang w:val="en-US" w:eastAsia="zh-CN"/>
        </w:rPr>
        <w:t>19</w:t>
      </w:r>
    </w:p>
    <w:p>
      <w:pPr>
        <w:spacing w:line="680" w:lineRule="exact"/>
        <w:rPr>
          <w:rFonts w:hint="eastAsia" w:eastAsia="宋体"/>
          <w:color w:val="000000"/>
          <w:sz w:val="28"/>
          <w:lang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……………………………………………2</w:t>
      </w:r>
      <w:r>
        <w:rPr>
          <w:rFonts w:hint="eastAsia"/>
          <w:color w:val="000000"/>
          <w:sz w:val="28"/>
          <w:lang w:val="en-US" w:eastAsia="zh-CN"/>
        </w:rPr>
        <w:t>1</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after="0" w:line="360" w:lineRule="auto"/>
        <w:ind w:firstLine="480" w:firstLineChars="200"/>
        <w:rPr>
          <w:color w:val="000000"/>
          <w:sz w:val="24"/>
          <w:szCs w:val="24"/>
        </w:rPr>
      </w:pPr>
      <w:r>
        <w:rPr>
          <w:rFonts w:hint="eastAsia"/>
          <w:color w:val="000000"/>
          <w:sz w:val="24"/>
          <w:szCs w:val="24"/>
        </w:rPr>
        <w:t>一、招标项目</w:t>
      </w:r>
    </w:p>
    <w:p>
      <w:pPr>
        <w:spacing w:after="0" w:line="360" w:lineRule="auto"/>
        <w:ind w:firstLine="480" w:firstLineChars="200"/>
        <w:rPr>
          <w:rFonts w:hint="eastAsia"/>
          <w:sz w:val="24"/>
          <w:szCs w:val="24"/>
        </w:rPr>
      </w:pPr>
      <w:r>
        <w:rPr>
          <w:color w:val="000000"/>
          <w:sz w:val="24"/>
          <w:szCs w:val="24"/>
        </w:rPr>
        <w:t>1.</w:t>
      </w:r>
      <w:r>
        <w:rPr>
          <w:rFonts w:hint="eastAsia"/>
          <w:color w:val="000000"/>
          <w:sz w:val="24"/>
          <w:szCs w:val="24"/>
        </w:rPr>
        <w:t>项目名称：</w:t>
      </w:r>
      <w:r>
        <w:rPr>
          <w:rFonts w:hint="eastAsia"/>
          <w:sz w:val="24"/>
          <w:szCs w:val="24"/>
        </w:rPr>
        <w:t>计算机学院</w:t>
      </w:r>
      <w:r>
        <w:rPr>
          <w:sz w:val="24"/>
          <w:szCs w:val="24"/>
        </w:rPr>
        <w:t>11</w:t>
      </w:r>
      <w:r>
        <w:rPr>
          <w:rFonts w:hint="eastAsia"/>
          <w:sz w:val="24"/>
          <w:szCs w:val="24"/>
        </w:rPr>
        <w:t>号楼（知行楼）</w:t>
      </w:r>
      <w:r>
        <w:rPr>
          <w:sz w:val="24"/>
          <w:szCs w:val="24"/>
        </w:rPr>
        <w:t>72</w:t>
      </w:r>
      <w:r>
        <w:rPr>
          <w:rFonts w:hint="eastAsia"/>
          <w:sz w:val="24"/>
          <w:szCs w:val="24"/>
        </w:rPr>
        <w:t>樘木门</w:t>
      </w:r>
      <w:r>
        <w:rPr>
          <w:rFonts w:hint="eastAsia"/>
          <w:sz w:val="24"/>
          <w:szCs w:val="24"/>
          <w:lang w:val="en-US" w:eastAsia="zh-CN"/>
        </w:rPr>
        <w:t>拆除与更换安装工程</w:t>
      </w:r>
      <w:r>
        <w:rPr>
          <w:rFonts w:hint="eastAsia"/>
          <w:sz w:val="24"/>
          <w:szCs w:val="24"/>
        </w:rPr>
        <w:t>。</w:t>
      </w:r>
    </w:p>
    <w:p>
      <w:pPr>
        <w:spacing w:after="0" w:line="360" w:lineRule="auto"/>
        <w:ind w:firstLine="480" w:firstLineChars="200"/>
        <w:rPr>
          <w:color w:val="000000"/>
          <w:sz w:val="24"/>
          <w:szCs w:val="24"/>
        </w:rPr>
      </w:pPr>
      <w:r>
        <w:rPr>
          <w:color w:val="000000"/>
          <w:sz w:val="24"/>
          <w:szCs w:val="24"/>
        </w:rPr>
        <w:t>2.</w:t>
      </w:r>
      <w:r>
        <w:rPr>
          <w:rFonts w:hint="eastAsia"/>
          <w:color w:val="000000"/>
          <w:sz w:val="24"/>
          <w:szCs w:val="24"/>
        </w:rPr>
        <w:t>项目最高限价：</w:t>
      </w:r>
      <w:r>
        <w:rPr>
          <w:color w:val="000000"/>
          <w:sz w:val="24"/>
          <w:szCs w:val="24"/>
        </w:rPr>
        <w:t>10.8</w:t>
      </w:r>
      <w:r>
        <w:rPr>
          <w:rFonts w:hint="eastAsia"/>
          <w:color w:val="000000"/>
          <w:sz w:val="24"/>
          <w:szCs w:val="24"/>
        </w:rPr>
        <w:t>万元。</w:t>
      </w:r>
    </w:p>
    <w:p>
      <w:pPr>
        <w:widowControl/>
        <w:spacing w:after="0" w:line="360" w:lineRule="auto"/>
        <w:ind w:firstLine="480" w:firstLineChars="200"/>
        <w:rPr>
          <w:sz w:val="24"/>
          <w:szCs w:val="24"/>
        </w:rPr>
      </w:pPr>
      <w:r>
        <w:rPr>
          <w:sz w:val="24"/>
          <w:szCs w:val="24"/>
        </w:rPr>
        <w:t>3.</w:t>
      </w:r>
      <w:r>
        <w:rPr>
          <w:rFonts w:hint="eastAsia"/>
          <w:sz w:val="24"/>
          <w:szCs w:val="24"/>
        </w:rPr>
        <w:t>项目简要说明：淮阴工学院因计算机与软件工程学院建设发展需要，欲订购套装免漆复合实木门一批，现面向社会公开招标。</w:t>
      </w:r>
    </w:p>
    <w:p>
      <w:pPr>
        <w:widowControl/>
        <w:spacing w:after="0" w:line="360" w:lineRule="auto"/>
        <w:ind w:firstLine="480" w:firstLineChars="200"/>
        <w:rPr>
          <w:color w:val="000000"/>
          <w:sz w:val="24"/>
          <w:szCs w:val="24"/>
        </w:rPr>
      </w:pPr>
      <w:r>
        <w:rPr>
          <w:rFonts w:hint="eastAsia"/>
          <w:color w:val="000000"/>
          <w:sz w:val="24"/>
          <w:szCs w:val="24"/>
        </w:rPr>
        <w:t>具体要求见第二章。</w:t>
      </w:r>
    </w:p>
    <w:p>
      <w:pPr>
        <w:widowControl/>
        <w:spacing w:after="0" w:line="360" w:lineRule="auto"/>
        <w:ind w:firstLine="480" w:firstLineChars="200"/>
        <w:rPr>
          <w:color w:val="000000"/>
          <w:sz w:val="24"/>
          <w:szCs w:val="24"/>
        </w:rPr>
      </w:pPr>
      <w:r>
        <w:rPr>
          <w:rFonts w:hint="eastAsia"/>
          <w:color w:val="000000"/>
          <w:sz w:val="24"/>
          <w:szCs w:val="24"/>
        </w:rPr>
        <w:t>二、投标人的资格条件</w:t>
      </w:r>
    </w:p>
    <w:p>
      <w:pPr>
        <w:widowControl/>
        <w:spacing w:after="0" w:line="360" w:lineRule="auto"/>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after="0" w:line="360" w:lineRule="auto"/>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经国家行政主管部门批准注册的独立企业法人或个体工商户；</w:t>
      </w:r>
    </w:p>
    <w:p>
      <w:pPr>
        <w:widowControl/>
        <w:spacing w:after="0" w:line="360" w:lineRule="auto"/>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widowControl/>
        <w:spacing w:after="0" w:line="360" w:lineRule="auto"/>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after="0" w:line="360" w:lineRule="auto"/>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after="0" w:line="360" w:lineRule="auto"/>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after="0" w:line="360" w:lineRule="auto"/>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after="0" w:line="360" w:lineRule="auto"/>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after="0" w:line="360" w:lineRule="auto"/>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after="0" w:line="360" w:lineRule="auto"/>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after="0" w:line="360" w:lineRule="auto"/>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after="0" w:line="360" w:lineRule="auto"/>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after="0" w:line="360" w:lineRule="auto"/>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after="0" w:line="360" w:lineRule="auto"/>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after="0" w:line="360" w:lineRule="auto"/>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szCs w:val="21"/>
        </w:rPr>
        <w:t>（</w:t>
      </w:r>
      <w:r>
        <w:rPr>
          <w:rFonts w:ascii="宋体" w:hAnsi="宋体" w:cs="仿宋"/>
          <w:szCs w:val="21"/>
        </w:rPr>
        <w:t>http://www.hyit.edu.cn/index/tzgg.htm</w:t>
      </w:r>
      <w:r>
        <w:rPr>
          <w:rFonts w:hint="eastAsia" w:ascii="宋体" w:hAnsi="宋体" w:cs="仿宋"/>
          <w:szCs w:val="21"/>
        </w:rPr>
        <w:t>或</w:t>
      </w:r>
      <w:r>
        <w:rPr>
          <w:rFonts w:ascii="宋体" w:hAnsi="宋体" w:cs="仿宋"/>
          <w:szCs w:val="21"/>
        </w:rPr>
        <w:t>http://zbb.hyit.edu.cn/</w:t>
      </w:r>
      <w:r>
        <w:rPr>
          <w:rFonts w:hint="eastAsia" w:ascii="宋体" w:hAnsi="宋体" w:cs="仿宋"/>
          <w:szCs w:val="21"/>
        </w:rPr>
        <w:t>）</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100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after="0" w:line="360" w:lineRule="auto"/>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after="0" w:line="360" w:lineRule="auto"/>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after="0" w:line="360" w:lineRule="auto"/>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after="0" w:line="360" w:lineRule="auto"/>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2000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after="0" w:line="360" w:lineRule="auto"/>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投标人在递交投标文件前需到淮阴工学院财务处开据投标保证金收据。因暑期学校放假，未中标单位投标保证金退还手续在</w:t>
      </w:r>
      <w:r>
        <w:rPr>
          <w:rFonts w:ascii="宋体" w:hAnsi="宋体" w:cs="仿宋"/>
          <w:color w:val="000000"/>
          <w:sz w:val="24"/>
          <w:szCs w:val="24"/>
        </w:rPr>
        <w:t>2019</w:t>
      </w:r>
      <w:r>
        <w:rPr>
          <w:rFonts w:hint="eastAsia" w:ascii="宋体" w:hAnsi="宋体" w:cs="仿宋"/>
          <w:color w:val="000000"/>
          <w:sz w:val="24"/>
          <w:szCs w:val="24"/>
        </w:rPr>
        <w:t>年</w:t>
      </w:r>
      <w:r>
        <w:rPr>
          <w:rFonts w:ascii="宋体" w:hAnsi="宋体" w:cs="仿宋"/>
          <w:color w:val="000000"/>
          <w:sz w:val="24"/>
          <w:szCs w:val="24"/>
        </w:rPr>
        <w:t>9</w:t>
      </w:r>
      <w:r>
        <w:rPr>
          <w:rFonts w:hint="eastAsia" w:ascii="宋体" w:hAnsi="宋体" w:cs="仿宋"/>
          <w:color w:val="000000"/>
          <w:sz w:val="24"/>
          <w:szCs w:val="24"/>
        </w:rPr>
        <w:t>月办理，不计任何相关利息损失。投标时需同时提交投标文件和投标保证金退款单（见附件）。</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after="0" w:line="360" w:lineRule="auto"/>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after="0" w:line="360" w:lineRule="auto"/>
        <w:ind w:firstLine="480" w:firstLineChars="200"/>
        <w:rPr>
          <w:sz w:val="24"/>
          <w:szCs w:val="24"/>
        </w:rPr>
      </w:pPr>
      <w:r>
        <w:rPr>
          <w:rFonts w:hint="eastAsia"/>
          <w:sz w:val="24"/>
          <w:szCs w:val="24"/>
        </w:rPr>
        <w:t>六、现场踏勘</w:t>
      </w:r>
    </w:p>
    <w:p>
      <w:pPr>
        <w:spacing w:after="0" w:line="360" w:lineRule="auto"/>
        <w:ind w:firstLine="420" w:firstLineChars="175"/>
        <w:rPr>
          <w:sz w:val="24"/>
          <w:szCs w:val="24"/>
        </w:rPr>
      </w:pPr>
      <w:r>
        <w:rPr>
          <w:rFonts w:hint="eastAsia"/>
          <w:sz w:val="24"/>
          <w:szCs w:val="24"/>
        </w:rPr>
        <w:t>地点：淮阴工学院枚乘路校区知行楼（原</w:t>
      </w:r>
      <w:r>
        <w:rPr>
          <w:sz w:val="24"/>
          <w:szCs w:val="24"/>
        </w:rPr>
        <w:t>11</w:t>
      </w:r>
      <w:r>
        <w:rPr>
          <w:rFonts w:hint="eastAsia"/>
          <w:sz w:val="24"/>
          <w:szCs w:val="24"/>
        </w:rPr>
        <w:t>号教学楼）。</w:t>
      </w:r>
    </w:p>
    <w:p>
      <w:pPr>
        <w:spacing w:after="0" w:line="360" w:lineRule="auto"/>
        <w:ind w:firstLine="420" w:firstLineChars="175"/>
        <w:rPr>
          <w:sz w:val="24"/>
          <w:szCs w:val="24"/>
        </w:rPr>
      </w:pPr>
      <w:r>
        <w:rPr>
          <w:rFonts w:hint="eastAsia"/>
          <w:sz w:val="24"/>
          <w:szCs w:val="24"/>
        </w:rPr>
        <w:t>费用：由投标人承担。</w:t>
      </w:r>
    </w:p>
    <w:p>
      <w:pPr>
        <w:spacing w:after="0" w:line="360" w:lineRule="auto"/>
        <w:ind w:firstLine="420" w:firstLineChars="175"/>
        <w:rPr>
          <w:sz w:val="24"/>
          <w:szCs w:val="24"/>
        </w:rPr>
      </w:pPr>
      <w:r>
        <w:rPr>
          <w:rFonts w:hint="eastAsia"/>
          <w:sz w:val="24"/>
          <w:szCs w:val="24"/>
        </w:rPr>
        <w:t>联系人：于振洋</w:t>
      </w:r>
      <w:r>
        <w:rPr>
          <w:sz w:val="24"/>
          <w:szCs w:val="24"/>
        </w:rPr>
        <w:t xml:space="preserve">  13952335633</w:t>
      </w:r>
    </w:p>
    <w:p>
      <w:pPr>
        <w:spacing w:after="0" w:line="360" w:lineRule="auto"/>
        <w:ind w:firstLine="480" w:firstLineChars="200"/>
        <w:rPr>
          <w:color w:val="000000"/>
          <w:sz w:val="24"/>
          <w:szCs w:val="24"/>
        </w:rPr>
      </w:pPr>
      <w:r>
        <w:rPr>
          <w:rFonts w:hint="eastAsia"/>
          <w:color w:val="000000"/>
          <w:sz w:val="24"/>
          <w:szCs w:val="24"/>
        </w:rPr>
        <w:t>七、投标文件组成</w:t>
      </w:r>
    </w:p>
    <w:p>
      <w:pPr>
        <w:spacing w:after="0" w:line="360" w:lineRule="auto"/>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after="0" w:line="360" w:lineRule="auto"/>
        <w:ind w:firstLine="480" w:firstLineChars="200"/>
        <w:rPr>
          <w:color w:val="000000"/>
          <w:sz w:val="24"/>
          <w:szCs w:val="24"/>
        </w:rPr>
      </w:pPr>
      <w:r>
        <w:rPr>
          <w:color w:val="000000"/>
          <w:kern w:val="0"/>
          <w:sz w:val="24"/>
          <w:szCs w:val="24"/>
        </w:rPr>
        <w:t>2.</w:t>
      </w:r>
      <w:r>
        <w:t xml:space="preserve"> </w:t>
      </w:r>
      <w:r>
        <w:rPr>
          <w:rFonts w:hint="eastAsia"/>
          <w:color w:val="000000"/>
          <w:kern w:val="0"/>
          <w:sz w:val="24"/>
          <w:szCs w:val="24"/>
        </w:rPr>
        <w:t>套装免漆复合实木门及安装投标报价表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投标商应在投标报价表中写明单价和总价，套装免漆复合实木门的品牌、详细参数。投标报价应包括招标范围内所有工作内容所必须的材料采购、产品的生产、包装、运输、装卸、加工、安装（楼层</w:t>
      </w:r>
      <w:r>
        <w:rPr>
          <w:color w:val="000000"/>
          <w:sz w:val="24"/>
          <w:szCs w:val="24"/>
        </w:rPr>
        <w:t>1-5</w:t>
      </w:r>
      <w:r>
        <w:rPr>
          <w:rFonts w:hint="eastAsia"/>
          <w:color w:val="000000"/>
          <w:sz w:val="24"/>
          <w:szCs w:val="24"/>
        </w:rPr>
        <w:t>楼）、安全、保险、保修、检测报告（检测等相关费用由中标人承担）、税金、售后服务等一切费用。</w:t>
      </w:r>
    </w:p>
    <w:p>
      <w:pPr>
        <w:spacing w:after="0" w:line="360" w:lineRule="auto"/>
        <w:ind w:firstLine="480" w:firstLineChars="20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after="0" w:line="360" w:lineRule="auto"/>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个体工商户投标，参照执行。</w:t>
      </w:r>
    </w:p>
    <w:p>
      <w:pPr>
        <w:widowControl/>
        <w:shd w:val="clear" w:color="auto" w:fill="FFFFFF"/>
        <w:spacing w:after="0" w:line="360" w:lineRule="auto"/>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after="0" w:line="360" w:lineRule="auto"/>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spacing w:after="0" w:line="360" w:lineRule="auto"/>
        <w:ind w:firstLine="480" w:firstLineChars="200"/>
        <w:rPr>
          <w:rFonts w:hint="eastAsia"/>
          <w:color w:val="000000"/>
          <w:kern w:val="0"/>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after="0" w:line="360" w:lineRule="auto"/>
        <w:ind w:firstLine="480" w:firstLineChars="200"/>
        <w:rPr>
          <w:color w:val="000000"/>
          <w:kern w:val="0"/>
          <w:sz w:val="24"/>
          <w:szCs w:val="24"/>
        </w:rPr>
      </w:pPr>
      <w:r>
        <w:rPr>
          <w:rFonts w:hint="eastAsia" w:ascii="宋体"/>
          <w:sz w:val="24"/>
          <w:szCs w:val="24"/>
          <w:lang w:val="en-US" w:eastAsia="zh-CN"/>
        </w:rPr>
        <w:t>4.</w:t>
      </w:r>
      <w:r>
        <w:rPr>
          <w:color w:val="000000"/>
          <w:kern w:val="0"/>
          <w:sz w:val="24"/>
          <w:szCs w:val="24"/>
        </w:rPr>
        <w:t>.</w:t>
      </w:r>
      <w:r>
        <w:rPr>
          <w:rFonts w:hint="eastAsia"/>
          <w:color w:val="000000"/>
          <w:kern w:val="0"/>
          <w:sz w:val="24"/>
          <w:szCs w:val="24"/>
        </w:rPr>
        <w:t>售后服务承诺</w:t>
      </w:r>
    </w:p>
    <w:p>
      <w:pPr>
        <w:spacing w:after="0" w:line="360" w:lineRule="auto"/>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after="0" w:line="360" w:lineRule="auto"/>
        <w:ind w:firstLine="440"/>
        <w:jc w:val="left"/>
        <w:rPr>
          <w:rFonts w:ascii="宋体" w:cs="宋体"/>
          <w:color w:val="000000"/>
          <w:kern w:val="0"/>
          <w:sz w:val="24"/>
          <w:szCs w:val="24"/>
        </w:rPr>
      </w:pPr>
      <w:r>
        <w:rPr>
          <w:rFonts w:hint="eastAsia" w:ascii="宋体" w:hAnsi="宋体" w:cs="宋体"/>
          <w:color w:val="000000"/>
          <w:kern w:val="0"/>
          <w:sz w:val="24"/>
          <w:szCs w:val="24"/>
          <w:lang w:val="en-US" w:eastAsia="zh-CN"/>
        </w:rPr>
        <w:t>5</w:t>
      </w:r>
      <w:r>
        <w:rPr>
          <w:rFonts w:ascii="宋体" w:hAns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widowControl/>
        <w:shd w:val="clear" w:color="auto" w:fill="FFFFFF"/>
        <w:spacing w:after="0" w:line="360" w:lineRule="auto"/>
        <w:ind w:firstLine="440"/>
        <w:jc w:val="left"/>
        <w:rPr>
          <w:rFonts w:ascii="宋体" w:cs="宋体"/>
          <w:kern w:val="0"/>
          <w:sz w:val="24"/>
        </w:rPr>
      </w:pPr>
      <w:r>
        <w:rPr>
          <w:rFonts w:hint="eastAsia" w:ascii="宋体" w:hAnsi="宋体" w:cs="宋体"/>
          <w:color w:val="000000"/>
          <w:kern w:val="0"/>
          <w:sz w:val="24"/>
          <w:szCs w:val="24"/>
          <w:lang w:val="en-US" w:eastAsia="zh-CN"/>
        </w:rPr>
        <w:t>6</w:t>
      </w:r>
      <w:r>
        <w:rPr>
          <w:rFonts w:ascii="宋体" w:hAnsi="宋体" w:cs="宋体"/>
          <w:color w:val="000000"/>
          <w:kern w:val="0"/>
          <w:sz w:val="24"/>
          <w:szCs w:val="24"/>
        </w:rPr>
        <w:t>.</w:t>
      </w:r>
      <w:r>
        <w:rPr>
          <w:rFonts w:hint="eastAsia" w:ascii="宋体" w:hAnsi="宋体" w:cs="宋体"/>
          <w:color w:val="000000"/>
          <w:kern w:val="0"/>
          <w:sz w:val="24"/>
          <w:szCs w:val="24"/>
        </w:rPr>
        <w:t>样品：提供套装免漆复合实木门小样；评标结果公布后，未中标单位</w:t>
      </w:r>
      <w:r>
        <w:rPr>
          <w:rFonts w:hint="eastAsia" w:ascii="宋体" w:hAnsi="宋体"/>
          <w:sz w:val="24"/>
        </w:rPr>
        <w:t>自行将样品带走，采购人不负责保管。</w:t>
      </w:r>
      <w:r>
        <w:rPr>
          <w:rFonts w:ascii="宋体" w:hAnsi="宋体" w:cs="宋体"/>
          <w:kern w:val="0"/>
          <w:sz w:val="24"/>
        </w:rPr>
        <w:t xml:space="preserve"> </w:t>
      </w:r>
    </w:p>
    <w:p>
      <w:pPr>
        <w:spacing w:after="0" w:line="360" w:lineRule="auto"/>
        <w:ind w:firstLine="480" w:firstLineChars="200"/>
        <w:rPr>
          <w:rFonts w:ascii="宋体" w:cs="宋体"/>
          <w:kern w:val="0"/>
          <w:sz w:val="24"/>
        </w:rPr>
      </w:pPr>
      <w:r>
        <w:rPr>
          <w:color w:val="000000"/>
          <w:sz w:val="24"/>
          <w:szCs w:val="24"/>
        </w:rPr>
        <w:t>1-</w:t>
      </w:r>
      <w:r>
        <w:rPr>
          <w:rFonts w:hint="eastAsia"/>
          <w:color w:val="000000"/>
          <w:sz w:val="24"/>
          <w:szCs w:val="24"/>
          <w:lang w:val="en-US" w:eastAsia="zh-CN"/>
        </w:rPr>
        <w:t>5</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after="0" w:line="360" w:lineRule="auto"/>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after="0" w:line="360" w:lineRule="auto"/>
        <w:ind w:firstLine="540" w:firstLineChars="200"/>
        <w:rPr>
          <w:color w:val="000000"/>
          <w:spacing w:val="15"/>
          <w:kern w:val="0"/>
          <w:sz w:val="24"/>
          <w:szCs w:val="24"/>
        </w:rPr>
      </w:pPr>
      <w:r>
        <w:rPr>
          <w:rFonts w:hint="eastAsia"/>
          <w:bCs/>
          <w:color w:val="000000"/>
          <w:spacing w:val="15"/>
          <w:kern w:val="0"/>
          <w:sz w:val="24"/>
          <w:szCs w:val="24"/>
        </w:rPr>
        <w:t>八、投标文件递交时间、地点</w:t>
      </w:r>
    </w:p>
    <w:p>
      <w:pPr>
        <w:spacing w:after="0" w:line="360" w:lineRule="auto"/>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after="0" w:line="360" w:lineRule="auto"/>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lang w:val="en-US" w:eastAsia="zh-CN"/>
        </w:rPr>
        <w:t>6</w:t>
      </w:r>
      <w:r>
        <w:rPr>
          <w:rFonts w:hint="eastAsia" w:ascii="宋体" w:hAnsi="宋体"/>
          <w:sz w:val="24"/>
          <w:szCs w:val="24"/>
        </w:rPr>
        <w:t>日</w:t>
      </w:r>
      <w:r>
        <w:rPr>
          <w:rFonts w:hint="eastAsia" w:ascii="宋体" w:hAnsi="宋体" w:cs="Arial"/>
          <w:color w:val="000000"/>
          <w:spacing w:val="15"/>
          <w:kern w:val="0"/>
          <w:sz w:val="24"/>
          <w:szCs w:val="24"/>
          <w:lang w:val="en-US" w:eastAsia="zh-CN"/>
        </w:rPr>
        <w:t>下</w:t>
      </w:r>
      <w:r>
        <w:rPr>
          <w:rFonts w:hint="eastAsia" w:ascii="宋体" w:hAnsi="宋体" w:cs="Arial"/>
          <w:color w:val="000000"/>
          <w:spacing w:val="15"/>
          <w:kern w:val="0"/>
          <w:sz w:val="24"/>
          <w:szCs w:val="24"/>
        </w:rPr>
        <w:t>午</w:t>
      </w:r>
      <w:r>
        <w:rPr>
          <w:rFonts w:hint="eastAsia" w:ascii="宋体" w:hAnsi="宋体" w:cs="Arial"/>
          <w:color w:val="000000"/>
          <w:spacing w:val="15"/>
          <w:kern w:val="0"/>
          <w:sz w:val="24"/>
          <w:szCs w:val="24"/>
          <w:lang w:val="en-US" w:eastAsia="zh-CN"/>
        </w:rPr>
        <w:t>2</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3</w:t>
      </w:r>
      <w:r>
        <w:rPr>
          <w:rFonts w:ascii="宋体" w:hAnsi="宋体" w:cs="Arial"/>
          <w:color w:val="000000"/>
          <w:spacing w:val="15"/>
          <w:kern w:val="0"/>
          <w:sz w:val="24"/>
          <w:szCs w:val="24"/>
        </w:rPr>
        <w:t>0-</w:t>
      </w:r>
      <w:r>
        <w:rPr>
          <w:rFonts w:hint="eastAsia" w:ascii="宋体" w:hAnsi="宋体" w:cs="Arial"/>
          <w:color w:val="000000"/>
          <w:spacing w:val="15"/>
          <w:kern w:val="0"/>
          <w:sz w:val="24"/>
          <w:szCs w:val="24"/>
          <w:lang w:val="en-US" w:eastAsia="zh-CN"/>
        </w:rPr>
        <w:t>3</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after="0"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after="0" w:line="360" w:lineRule="auto"/>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after="0" w:line="360" w:lineRule="auto"/>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after="0" w:line="360" w:lineRule="auto"/>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after="0"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after="0" w:line="360" w:lineRule="auto"/>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after="0" w:line="360" w:lineRule="auto"/>
        <w:ind w:firstLine="540" w:firstLineChars="200"/>
        <w:rPr>
          <w:rFonts w:ascii="宋体" w:cs="Arial"/>
          <w:color w:val="000000"/>
          <w:spacing w:val="15"/>
          <w:kern w:val="0"/>
          <w:sz w:val="24"/>
        </w:rPr>
      </w:pPr>
      <w:r>
        <w:rPr>
          <w:rFonts w:hint="eastAsia" w:ascii="宋体" w:hAnsi="宋体" w:cs="Arial"/>
          <w:bCs/>
          <w:color w:val="000000"/>
          <w:spacing w:val="15"/>
          <w:kern w:val="0"/>
          <w:sz w:val="24"/>
        </w:rPr>
        <w:t>九、开标时间及地点</w:t>
      </w:r>
    </w:p>
    <w:p>
      <w:pPr>
        <w:widowControl/>
        <w:spacing w:after="0" w:line="360" w:lineRule="auto"/>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hint="eastAsia" w:ascii="Arial" w:hAnsi="Arial" w:cs="Arial"/>
          <w:color w:val="000000"/>
          <w:kern w:val="0"/>
          <w:sz w:val="24"/>
          <w:szCs w:val="24"/>
          <w:lang w:val="en-US" w:eastAsia="zh-CN"/>
        </w:rPr>
        <w:t>8</w:t>
      </w:r>
      <w:r>
        <w:rPr>
          <w:rFonts w:hint="eastAsia" w:ascii="Arial" w:hAnsi="Arial" w:cs="Arial"/>
          <w:color w:val="000000"/>
          <w:kern w:val="0"/>
          <w:sz w:val="24"/>
          <w:szCs w:val="24"/>
        </w:rPr>
        <w:t>月</w:t>
      </w:r>
      <w:r>
        <w:rPr>
          <w:rFonts w:hint="eastAsia" w:ascii="Arial" w:hAnsi="Arial" w:cs="Arial"/>
          <w:color w:val="000000"/>
          <w:kern w:val="0"/>
          <w:sz w:val="24"/>
          <w:szCs w:val="24"/>
          <w:lang w:val="en-US" w:eastAsia="zh-CN"/>
        </w:rPr>
        <w:t>6</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4：00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after="0" w:line="360" w:lineRule="auto"/>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after="0" w:line="360" w:lineRule="auto"/>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after="0" w:line="360" w:lineRule="auto"/>
        <w:ind w:firstLine="461" w:firstLineChars="171"/>
        <w:rPr>
          <w:color w:val="000000"/>
          <w:kern w:val="0"/>
          <w:sz w:val="24"/>
        </w:rPr>
      </w:pPr>
      <w:r>
        <w:rPr>
          <w:rFonts w:hint="eastAsia"/>
          <w:color w:val="000000"/>
          <w:spacing w:val="15"/>
          <w:kern w:val="0"/>
          <w:sz w:val="24"/>
        </w:rPr>
        <w:t>十</w:t>
      </w:r>
      <w:r>
        <w:rPr>
          <w:rFonts w:hint="eastAsia"/>
          <w:color w:val="000000"/>
          <w:kern w:val="0"/>
          <w:sz w:val="24"/>
        </w:rPr>
        <w:t>、评标办法</w:t>
      </w:r>
    </w:p>
    <w:p>
      <w:pPr>
        <w:widowControl/>
        <w:spacing w:after="0" w:line="360" w:lineRule="auto"/>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w:t>
      </w:r>
      <w:r>
        <w:rPr>
          <w:rFonts w:hint="eastAsia"/>
          <w:color w:val="000000"/>
          <w:kern w:val="0"/>
          <w:sz w:val="24"/>
          <w:szCs w:val="24"/>
        </w:rPr>
        <w:t>按评审后得分由高到低顺序排列。得分相同的，按投标报价由低到高顺序排列；</w:t>
      </w:r>
      <w:r>
        <w:rPr>
          <w:rFonts w:hint="eastAsia" w:ascii="Arial" w:hAnsi="Arial" w:cs="Arial"/>
          <w:color w:val="000000"/>
          <w:kern w:val="0"/>
          <w:sz w:val="24"/>
          <w:szCs w:val="24"/>
        </w:rPr>
        <w:t>评审得分、投标报价、样品展示得分相同的，由相应投标人抽签决定顺序排列；</w:t>
      </w:r>
      <w:r>
        <w:rPr>
          <w:rFonts w:hint="eastAsia"/>
          <w:color w:val="000000"/>
          <w:kern w:val="0"/>
          <w:sz w:val="24"/>
          <w:szCs w:val="24"/>
        </w:rPr>
        <w:t>投标文件满足招标文件全部实质性要求，且按照评审因素的量化指标评审得分最高的投标人为排名第一的中标候选人。</w:t>
      </w:r>
    </w:p>
    <w:p>
      <w:pPr>
        <w:widowControl/>
        <w:spacing w:after="0" w:line="360" w:lineRule="auto"/>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2"/>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225"/>
        <w:gridCol w:w="7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6225"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700"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r>
              <w:rPr>
                <w:rFonts w:ascii="宋体" w:hAnsi="宋体" w:cs="宋体"/>
                <w:b/>
                <w:color w:val="000000"/>
                <w:kern w:val="0"/>
                <w:szCs w:val="21"/>
              </w:rPr>
              <w:t>82</w:t>
            </w:r>
            <w:r>
              <w:rPr>
                <w:rFonts w:hint="eastAsia" w:ascii="宋体" w:hAnsi="宋体" w:cs="宋体"/>
                <w:b/>
                <w:color w:val="000000"/>
                <w:kern w:val="0"/>
                <w:szCs w:val="21"/>
              </w:rPr>
              <w:t>分）</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82</w:t>
            </w:r>
          </w:p>
        </w:tc>
        <w:tc>
          <w:tcPr>
            <w:tcW w:w="6225" w:type="dxa"/>
            <w:vAlign w:val="center"/>
          </w:tcPr>
          <w:p>
            <w:pPr>
              <w:widowControl/>
              <w:spacing w:after="0" w:line="240" w:lineRule="auto"/>
              <w:jc w:val="left"/>
            </w:pPr>
            <w:r>
              <w:rPr>
                <w:rFonts w:hint="eastAsia"/>
              </w:rPr>
              <w:t>以有效投标文件（有效投标文件是指初步评审合格的投标文件，下同）的评标价（评标价是指经澄清、补正和修正算术计算错误的投标报价，下同）算术平均值为</w:t>
            </w:r>
            <w:r>
              <w:t xml:space="preserve"> A</w:t>
            </w:r>
            <w:r>
              <w:rPr>
                <w:rFonts w:hint="eastAsia"/>
              </w:rPr>
              <w:t>〔当有效投标文件≥</w:t>
            </w:r>
            <w:r>
              <w:t xml:space="preserve">7 </w:t>
            </w:r>
            <w:r>
              <w:rPr>
                <w:rFonts w:hint="eastAsia"/>
              </w:rPr>
              <w:t>家时，去掉最高和最低</w:t>
            </w:r>
            <w:r>
              <w:t xml:space="preserve"> 20%</w:t>
            </w:r>
            <w:r>
              <w:rPr>
                <w:rFonts w:hint="eastAsia"/>
              </w:rPr>
              <w:t>（四舍五入取整）后进行平均；当有效投标文件</w:t>
            </w:r>
            <w:r>
              <w:t xml:space="preserve"> 4-6 </w:t>
            </w:r>
            <w:r>
              <w:rPr>
                <w:rFonts w:hint="eastAsia"/>
              </w:rPr>
              <w:t>家时，剔除最高报价后进行算术平均；当有效投标文件＜</w:t>
            </w:r>
            <w:r>
              <w:t xml:space="preserve">4 </w:t>
            </w:r>
            <w:r>
              <w:rPr>
                <w:rFonts w:hint="eastAsia"/>
              </w:rPr>
              <w:t>时，则次低报价作为投标平均价</w:t>
            </w:r>
            <w:r>
              <w:t xml:space="preserve"> A</w:t>
            </w:r>
            <w:r>
              <w:rPr>
                <w:rFonts w:hint="eastAsia"/>
              </w:rPr>
              <w:t>〕。</w:t>
            </w:r>
          </w:p>
          <w:p>
            <w:pPr>
              <w:widowControl/>
              <w:spacing w:after="0" w:line="240" w:lineRule="auto"/>
              <w:jc w:val="left"/>
            </w:pPr>
            <w:r>
              <w:rPr>
                <w:rFonts w:hint="eastAsia"/>
              </w:rPr>
              <w:t>评标基准价</w:t>
            </w:r>
            <w:r>
              <w:t xml:space="preserve"> =A</w:t>
            </w:r>
            <w:r>
              <w:rPr>
                <w:rFonts w:hint="eastAsia"/>
              </w:rPr>
              <w:t>×</w:t>
            </w:r>
            <w:r>
              <w:t>K</w:t>
            </w:r>
            <w:r>
              <w:rPr>
                <w:rFonts w:hint="eastAsia"/>
              </w:rPr>
              <w:t>，</w:t>
            </w:r>
            <w:r>
              <w:t xml:space="preserve">K </w:t>
            </w:r>
            <w:r>
              <w:rPr>
                <w:rFonts w:hint="eastAsia"/>
              </w:rPr>
              <w:t>值在开标时由投标人推选的代表随机抽取确定，</w:t>
            </w:r>
            <w:r>
              <w:t xml:space="preserve">K </w:t>
            </w:r>
            <w:r>
              <w:rPr>
                <w:rFonts w:hint="eastAsia"/>
              </w:rPr>
              <w:t>值的取值范围为</w:t>
            </w:r>
            <w:r>
              <w:t>95%-98%</w:t>
            </w:r>
            <w:r>
              <w:rPr>
                <w:rFonts w:hint="eastAsia"/>
              </w:rPr>
              <w:t>。</w:t>
            </w:r>
          </w:p>
          <w:p>
            <w:pPr>
              <w:widowControl/>
              <w:spacing w:after="0" w:line="240" w:lineRule="auto"/>
              <w:jc w:val="left"/>
            </w:pPr>
            <w:r>
              <w:rPr>
                <w:rFonts w:hint="eastAsia"/>
                <w:szCs w:val="22"/>
              </w:rPr>
              <w:t>投标报价等于评标基准价的得满分，投标报价相对评标基准价每低</w:t>
            </w:r>
            <w:r>
              <w:rPr>
                <w:szCs w:val="22"/>
              </w:rPr>
              <w:t>1%</w:t>
            </w:r>
            <w:r>
              <w:rPr>
                <w:rFonts w:hint="eastAsia"/>
                <w:szCs w:val="22"/>
              </w:rPr>
              <w:t>扣</w:t>
            </w:r>
            <w:r>
              <w:rPr>
                <w:szCs w:val="22"/>
              </w:rPr>
              <w:t xml:space="preserve">  0.6  </w:t>
            </w:r>
            <w:r>
              <w:rPr>
                <w:rFonts w:hint="eastAsia"/>
                <w:szCs w:val="22"/>
              </w:rPr>
              <w:t>分，每高</w:t>
            </w:r>
            <w:r>
              <w:rPr>
                <w:szCs w:val="22"/>
              </w:rPr>
              <w:t>1%</w:t>
            </w:r>
            <w:r>
              <w:rPr>
                <w:rFonts w:hint="eastAsia"/>
                <w:szCs w:val="22"/>
              </w:rPr>
              <w:t>扣</w:t>
            </w:r>
            <w:r>
              <w:rPr>
                <w:szCs w:val="22"/>
              </w:rPr>
              <w:t xml:space="preserve">  0.9 </w:t>
            </w:r>
            <w:r>
              <w:rPr>
                <w:rFonts w:hint="eastAsia"/>
                <w:szCs w:val="22"/>
              </w:rPr>
              <w:t>分；偏离不足</w:t>
            </w:r>
            <w:r>
              <w:rPr>
                <w:szCs w:val="22"/>
              </w:rPr>
              <w:t>1%</w:t>
            </w:r>
            <w:r>
              <w:rPr>
                <w:rFonts w:hint="eastAsia"/>
                <w:szCs w:val="22"/>
              </w:rPr>
              <w:t>的，按照插入法计算得分</w:t>
            </w:r>
          </w:p>
        </w:tc>
        <w:tc>
          <w:tcPr>
            <w:tcW w:w="700"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样品展示</w:t>
            </w:r>
          </w:p>
          <w:p>
            <w:pPr>
              <w:snapToGrid w:val="0"/>
              <w:rPr>
                <w:rFonts w:ascii="宋体" w:cs="宋体"/>
                <w:b/>
                <w:color w:val="000000"/>
                <w:kern w:val="0"/>
                <w:szCs w:val="21"/>
              </w:rPr>
            </w:pPr>
            <w:r>
              <w:rPr>
                <w:rFonts w:hint="eastAsia" w:ascii="宋体" w:hAnsi="宋体" w:cs="宋体"/>
                <w:b/>
                <w:color w:val="000000"/>
                <w:kern w:val="0"/>
                <w:szCs w:val="21"/>
              </w:rPr>
              <w:t>（</w:t>
            </w:r>
            <w:r>
              <w:rPr>
                <w:rFonts w:ascii="宋体" w:hAnsi="宋体" w:cs="宋体"/>
                <w:b/>
                <w:color w:val="000000"/>
                <w:kern w:val="0"/>
                <w:szCs w:val="21"/>
              </w:rPr>
              <w:t>18</w:t>
            </w:r>
            <w:r>
              <w:rPr>
                <w:rFonts w:hint="eastAsia" w:ascii="宋体" w:hAnsi="宋体" w:cs="宋体"/>
                <w:b/>
                <w:color w:val="000000"/>
                <w:kern w:val="0"/>
                <w:szCs w:val="21"/>
              </w:rPr>
              <w:t>分）</w:t>
            </w:r>
          </w:p>
        </w:tc>
        <w:tc>
          <w:tcPr>
            <w:tcW w:w="684" w:type="dxa"/>
            <w:vAlign w:val="center"/>
          </w:tcPr>
          <w:p>
            <w:pPr>
              <w:snapToGrid w:val="0"/>
              <w:spacing w:after="0" w:line="360" w:lineRule="exact"/>
              <w:jc w:val="center"/>
              <w:rPr>
                <w:rFonts w:ascii="宋体"/>
                <w:szCs w:val="21"/>
              </w:rPr>
            </w:pPr>
            <w:r>
              <w:rPr>
                <w:rFonts w:ascii="宋体" w:hAnsi="宋体"/>
                <w:szCs w:val="21"/>
              </w:rPr>
              <w:t>18</w:t>
            </w:r>
          </w:p>
        </w:tc>
        <w:tc>
          <w:tcPr>
            <w:tcW w:w="6225" w:type="dxa"/>
          </w:tcPr>
          <w:p>
            <w:pPr>
              <w:widowControl/>
              <w:spacing w:after="0" w:line="240" w:lineRule="auto"/>
              <w:jc w:val="left"/>
              <w:rPr>
                <w:rFonts w:ascii="宋体"/>
                <w:szCs w:val="21"/>
              </w:rPr>
            </w:pPr>
            <w:r>
              <w:rPr>
                <w:rFonts w:hint="eastAsia" w:ascii="宋体" w:hAnsi="宋体"/>
                <w:szCs w:val="21"/>
              </w:rPr>
              <w:t>需提供套装免漆复合子母实木门成品小样（外观设计、门内布线设计、主辅材及配件质量），评委根据小样情况酌情打分。</w:t>
            </w:r>
          </w:p>
          <w:p>
            <w:pPr>
              <w:widowControl/>
              <w:spacing w:after="0" w:line="240" w:lineRule="auto"/>
              <w:jc w:val="left"/>
              <w:rPr>
                <w:rFonts w:ascii="宋体"/>
                <w:bCs/>
                <w:color w:val="FF0000"/>
                <w:szCs w:val="21"/>
              </w:rPr>
            </w:pPr>
            <w:r>
              <w:rPr>
                <w:rFonts w:hint="eastAsia" w:ascii="宋体" w:hAnsi="宋体"/>
                <w:szCs w:val="21"/>
              </w:rPr>
              <w:t>未提供样品或经</w:t>
            </w:r>
            <w:r>
              <w:rPr>
                <w:rFonts w:ascii="宋体" w:hAnsi="宋体"/>
                <w:szCs w:val="21"/>
              </w:rPr>
              <w:t>2/3</w:t>
            </w:r>
            <w:r>
              <w:rPr>
                <w:rFonts w:hint="eastAsia" w:ascii="宋体" w:hAnsi="宋体"/>
                <w:szCs w:val="21"/>
              </w:rPr>
              <w:t>以上评委认为样品偏差较大，则为无效投标。</w:t>
            </w:r>
          </w:p>
        </w:tc>
        <w:tc>
          <w:tcPr>
            <w:tcW w:w="700" w:type="dxa"/>
          </w:tcPr>
          <w:p>
            <w:pPr>
              <w:widowControl/>
              <w:spacing w:line="240" w:lineRule="auto"/>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fldChar w:fldCharType="begin"/>
            </w:r>
            <w:r>
              <w:rPr>
                <w:rFonts w:ascii="宋体" w:cs="宋体"/>
                <w:color w:val="000000"/>
                <w:kern w:val="0"/>
                <w:szCs w:val="21"/>
              </w:rPr>
              <w:instrText xml:space="preserve"> =SUM(ABOVE) </w:instrText>
            </w:r>
            <w:r>
              <w:rPr>
                <w:rFonts w:ascii="宋体" w:cs="宋体"/>
                <w:color w:val="000000"/>
                <w:kern w:val="0"/>
                <w:szCs w:val="21"/>
              </w:rPr>
              <w:fldChar w:fldCharType="separate"/>
            </w:r>
            <w:r>
              <w:rPr>
                <w:rFonts w:ascii="宋体" w:cs="宋体"/>
                <w:color w:val="000000"/>
                <w:kern w:val="0"/>
                <w:szCs w:val="21"/>
              </w:rPr>
              <w:t>100</w:t>
            </w:r>
            <w:r>
              <w:rPr>
                <w:rFonts w:ascii="宋体" w:cs="宋体"/>
                <w:color w:val="000000"/>
                <w:kern w:val="0"/>
                <w:szCs w:val="21"/>
              </w:rPr>
              <w:fldChar w:fldCharType="end"/>
            </w:r>
          </w:p>
        </w:tc>
        <w:tc>
          <w:tcPr>
            <w:tcW w:w="6225" w:type="dxa"/>
            <w:tcBorders>
              <w:bottom w:val="single" w:color="000000" w:sz="4" w:space="0"/>
            </w:tcBorders>
            <w:vAlign w:val="center"/>
          </w:tcPr>
          <w:p>
            <w:pPr>
              <w:widowControl/>
              <w:rPr>
                <w:rFonts w:cs="宋体"/>
                <w:color w:val="000000"/>
                <w:kern w:val="0"/>
                <w:szCs w:val="21"/>
              </w:rPr>
            </w:pPr>
          </w:p>
        </w:tc>
        <w:tc>
          <w:tcPr>
            <w:tcW w:w="700" w:type="dxa"/>
            <w:tcBorders>
              <w:bottom w:val="single" w:color="000000" w:sz="4" w:space="0"/>
            </w:tcBorders>
          </w:tcPr>
          <w:p>
            <w:pPr>
              <w:widowControl/>
              <w:rPr>
                <w:rFonts w:cs="宋体"/>
                <w:color w:val="000000"/>
                <w:kern w:val="0"/>
                <w:szCs w:val="21"/>
              </w:rPr>
            </w:pPr>
          </w:p>
        </w:tc>
      </w:tr>
    </w:tbl>
    <w:p>
      <w:pPr>
        <w:spacing w:line="440" w:lineRule="exact"/>
        <w:ind w:firstLine="480" w:firstLineChars="200"/>
        <w:rPr>
          <w:color w:val="000000"/>
          <w:sz w:val="24"/>
          <w:szCs w:val="24"/>
        </w:rPr>
      </w:pPr>
    </w:p>
    <w:p>
      <w:pPr>
        <w:spacing w:after="0" w:line="360" w:lineRule="auto"/>
        <w:ind w:firstLine="480" w:firstLineChars="200"/>
        <w:rPr>
          <w:rFonts w:ascii="宋体"/>
          <w:sz w:val="24"/>
        </w:rPr>
      </w:pPr>
      <w:r>
        <w:rPr>
          <w:rFonts w:hint="eastAsia" w:ascii="宋体" w:hAnsi="宋体"/>
          <w:sz w:val="24"/>
        </w:rPr>
        <w:t>十一、评标程序</w:t>
      </w:r>
    </w:p>
    <w:p>
      <w:pPr>
        <w:spacing w:after="0" w:line="360" w:lineRule="auto"/>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after="0" w:line="360" w:lineRule="auto"/>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after="0" w:line="360" w:lineRule="auto"/>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after="0" w:line="360" w:lineRule="auto"/>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after="0"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after="0"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after="0" w:line="360" w:lineRule="auto"/>
        <w:ind w:firstLine="561"/>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after="0" w:line="360" w:lineRule="auto"/>
        <w:ind w:firstLine="561"/>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after="0" w:line="360" w:lineRule="auto"/>
        <w:ind w:firstLine="561"/>
        <w:rPr>
          <w:rFonts w:ascii="宋体" w:cs="宋体"/>
          <w:color w:val="000000"/>
          <w:sz w:val="24"/>
          <w:szCs w:val="22"/>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lang w:val="en-US" w:eastAsia="zh-CN"/>
        </w:rPr>
        <w:t>7</w:t>
      </w:r>
      <w:r>
        <w:rPr>
          <w:rFonts w:hint="eastAsia" w:ascii="宋体" w:hAnsi="宋体" w:cs="宋体"/>
          <w:color w:val="000000"/>
          <w:sz w:val="24"/>
        </w:rPr>
        <w:t>）</w:t>
      </w:r>
      <w:r>
        <w:rPr>
          <w:rFonts w:hint="eastAsia" w:ascii="宋体" w:hAnsi="宋体" w:cs="宋体"/>
          <w:color w:val="000000"/>
          <w:sz w:val="24"/>
          <w:szCs w:val="22"/>
        </w:rPr>
        <w:t>未提供样品或经</w:t>
      </w:r>
      <w:r>
        <w:rPr>
          <w:rFonts w:ascii="宋体" w:hAnsi="宋体" w:cs="宋体"/>
          <w:color w:val="000000"/>
          <w:sz w:val="24"/>
          <w:szCs w:val="22"/>
        </w:rPr>
        <w:t>2/3</w:t>
      </w:r>
      <w:r>
        <w:rPr>
          <w:rFonts w:hint="eastAsia" w:ascii="宋体" w:hAnsi="宋体" w:cs="宋体"/>
          <w:color w:val="000000"/>
          <w:sz w:val="24"/>
          <w:szCs w:val="22"/>
        </w:rPr>
        <w:t>以上评委认为样品偏差较大的；</w:t>
      </w:r>
    </w:p>
    <w:p>
      <w:pPr>
        <w:widowControl/>
        <w:spacing w:after="0" w:line="360" w:lineRule="auto"/>
        <w:ind w:firstLine="561"/>
      </w:pPr>
      <w:r>
        <w:rPr>
          <w:rFonts w:hint="eastAsia" w:ascii="宋体" w:hAnsi="宋体" w:cs="宋体"/>
          <w:color w:val="000000"/>
          <w:sz w:val="24"/>
          <w:szCs w:val="22"/>
        </w:rPr>
        <w:t>（</w:t>
      </w:r>
      <w:r>
        <w:rPr>
          <w:rFonts w:ascii="宋体" w:hAnsi="宋体" w:cs="宋体"/>
          <w:color w:val="000000"/>
          <w:sz w:val="24"/>
          <w:szCs w:val="22"/>
        </w:rPr>
        <w:t>1</w:t>
      </w:r>
      <w:r>
        <w:rPr>
          <w:rFonts w:hint="eastAsia" w:ascii="宋体" w:hAnsi="宋体" w:cs="宋体"/>
          <w:color w:val="000000"/>
          <w:sz w:val="24"/>
          <w:szCs w:val="22"/>
          <w:lang w:val="en-US" w:eastAsia="zh-CN"/>
        </w:rPr>
        <w:t>8</w:t>
      </w:r>
      <w:r>
        <w:rPr>
          <w:rFonts w:hint="eastAsia" w:ascii="宋体" w:hAnsi="宋体" w:cs="宋体"/>
          <w:color w:val="000000"/>
          <w:sz w:val="24"/>
          <w:szCs w:val="22"/>
        </w:rPr>
        <w:t>）质保未满两年的。</w:t>
      </w:r>
    </w:p>
    <w:p>
      <w:pPr>
        <w:widowControl/>
        <w:spacing w:after="0" w:line="360" w:lineRule="auto"/>
        <w:ind w:firstLine="561"/>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after="0" w:line="360" w:lineRule="auto"/>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after="0" w:line="360" w:lineRule="auto"/>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after="0" w:line="360" w:lineRule="auto"/>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after="0" w:line="360" w:lineRule="auto"/>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after="0" w:line="360" w:lineRule="auto"/>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after="0" w:line="360" w:lineRule="auto"/>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after="0" w:line="360" w:lineRule="auto"/>
        <w:ind w:firstLine="480" w:firstLineChars="200"/>
        <w:rPr>
          <w:rFonts w:ascii="宋体"/>
          <w:sz w:val="24"/>
        </w:rPr>
      </w:pPr>
      <w:r>
        <w:rPr>
          <w:rFonts w:ascii="宋体" w:hAnsi="宋体"/>
          <w:sz w:val="24"/>
        </w:rPr>
        <w:t>4.</w:t>
      </w:r>
      <w:r>
        <w:rPr>
          <w:rFonts w:hint="eastAsia" w:ascii="宋体" w:hAnsi="宋体"/>
          <w:sz w:val="24"/>
        </w:rPr>
        <w:t>投标文件的澄清</w:t>
      </w:r>
    </w:p>
    <w:p>
      <w:pPr>
        <w:spacing w:after="0" w:line="360" w:lineRule="auto"/>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after="0" w:line="360" w:lineRule="auto"/>
        <w:ind w:firstLine="480" w:firstLineChars="200"/>
        <w:rPr>
          <w:rFonts w:ascii="宋体"/>
          <w:sz w:val="24"/>
        </w:rPr>
      </w:pPr>
      <w:r>
        <w:rPr>
          <w:rFonts w:ascii="宋体" w:hAnsi="宋体"/>
          <w:sz w:val="24"/>
        </w:rPr>
        <w:t>5.</w:t>
      </w:r>
      <w:r>
        <w:rPr>
          <w:rFonts w:hint="eastAsia" w:ascii="宋体" w:hAnsi="宋体"/>
          <w:sz w:val="24"/>
        </w:rPr>
        <w:t>评审及中标</w:t>
      </w:r>
    </w:p>
    <w:p>
      <w:pPr>
        <w:spacing w:after="0" w:line="360" w:lineRule="auto"/>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after="0" w:line="360" w:lineRule="auto"/>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after="0" w:line="360" w:lineRule="auto"/>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after="0" w:line="360" w:lineRule="auto"/>
        <w:ind w:firstLine="480" w:firstLineChars="200"/>
        <w:rPr>
          <w:color w:val="000000"/>
          <w:kern w:val="0"/>
          <w:sz w:val="24"/>
          <w:szCs w:val="24"/>
        </w:rPr>
      </w:pPr>
      <w:r>
        <w:rPr>
          <w:rFonts w:hint="eastAsia"/>
          <w:color w:val="000000"/>
          <w:kern w:val="0"/>
          <w:sz w:val="24"/>
          <w:szCs w:val="24"/>
        </w:rPr>
        <w:t>十二、定标与签约</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360" w:lineRule="auto"/>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360" w:lineRule="auto"/>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after="0" w:line="360" w:lineRule="auto"/>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年的投标资格，</w:t>
      </w:r>
      <w:r>
        <w:rPr>
          <w:rFonts w:hint="eastAsia" w:ascii="宋体" w:hAnsi="宋体" w:cs="宋体"/>
          <w:sz w:val="24"/>
          <w:szCs w:val="24"/>
        </w:rPr>
        <w:t>我校有权将中标资格授予排名第二的投标人或重新组织招标。</w:t>
      </w:r>
    </w:p>
    <w:p>
      <w:pPr>
        <w:spacing w:after="0"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after="0" w:line="360" w:lineRule="auto"/>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w:t>
      </w:r>
      <w:r>
        <w:rPr>
          <w:rFonts w:hint="eastAsia" w:ascii="宋体" w:hAnsi="宋体"/>
          <w:sz w:val="24"/>
          <w:szCs w:val="24"/>
          <w:lang w:val="en-US" w:eastAsia="zh-CN"/>
        </w:rPr>
        <w:t>2</w:t>
      </w:r>
      <w:r>
        <w:rPr>
          <w:rFonts w:ascii="宋体" w:hAnsi="宋体"/>
          <w:sz w:val="24"/>
          <w:szCs w:val="24"/>
        </w:rPr>
        <w:t>000</w:t>
      </w:r>
      <w:r>
        <w:rPr>
          <w:rFonts w:hint="eastAsia" w:ascii="宋体" w:hAnsi="宋体"/>
          <w:sz w:val="24"/>
          <w:szCs w:val="24"/>
        </w:rPr>
        <w:t>元的履约保证金。已交纳的投标保证金自动转为合同履约保证金。</w:t>
      </w:r>
    </w:p>
    <w:p>
      <w:pPr>
        <w:spacing w:after="0" w:line="360" w:lineRule="auto"/>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after="0" w:line="360" w:lineRule="auto"/>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360" w:lineRule="auto"/>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360" w:lineRule="auto"/>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after="0" w:line="360" w:lineRule="auto"/>
        <w:ind w:firstLine="440"/>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after="0" w:line="360" w:lineRule="auto"/>
        <w:ind w:firstLine="440"/>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pPr>
        <w:widowControl/>
        <w:shd w:val="clear" w:color="auto" w:fill="FFFFFF"/>
        <w:spacing w:after="0" w:line="360" w:lineRule="auto"/>
        <w:ind w:firstLine="440"/>
        <w:rPr>
          <w:color w:val="000000"/>
          <w:kern w:val="0"/>
          <w:sz w:val="24"/>
        </w:rPr>
      </w:pPr>
      <w:r>
        <w:rPr>
          <w:rFonts w:hint="eastAsia"/>
          <w:color w:val="000000"/>
          <w:kern w:val="0"/>
          <w:sz w:val="24"/>
        </w:rPr>
        <w:t>十五、联系方式</w:t>
      </w:r>
    </w:p>
    <w:p>
      <w:pPr>
        <w:spacing w:after="0" w:line="360" w:lineRule="auto"/>
        <w:ind w:firstLine="480" w:firstLineChars="200"/>
        <w:rPr>
          <w:color w:val="000000"/>
          <w:sz w:val="24"/>
        </w:rPr>
      </w:pPr>
      <w:r>
        <w:rPr>
          <w:rFonts w:hint="eastAsia"/>
          <w:color w:val="000000"/>
          <w:sz w:val="24"/>
        </w:rPr>
        <w:t>技术联系人：于老师，联系电话：</w:t>
      </w:r>
      <w:r>
        <w:rPr>
          <w:color w:val="000000"/>
          <w:sz w:val="24"/>
        </w:rPr>
        <w:t>13952335633</w:t>
      </w:r>
      <w:r>
        <w:rPr>
          <w:rFonts w:hint="eastAsia"/>
          <w:color w:val="000000"/>
          <w:sz w:val="24"/>
        </w:rPr>
        <w:t>；</w:t>
      </w:r>
    </w:p>
    <w:p>
      <w:pPr>
        <w:spacing w:after="0" w:line="360" w:lineRule="auto"/>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号，淮阴工学院知行楼</w:t>
      </w:r>
      <w:r>
        <w:rPr>
          <w:color w:val="000000"/>
          <w:sz w:val="24"/>
        </w:rPr>
        <w:t>11-112</w:t>
      </w:r>
      <w:r>
        <w:rPr>
          <w:rFonts w:hint="eastAsia"/>
          <w:color w:val="000000"/>
          <w:sz w:val="24"/>
        </w:rPr>
        <w:t>室。</w:t>
      </w:r>
    </w:p>
    <w:p>
      <w:pPr>
        <w:spacing w:after="0" w:line="360" w:lineRule="auto"/>
        <w:ind w:firstLine="480" w:firstLineChars="200"/>
        <w:rPr>
          <w:color w:val="000000"/>
          <w:sz w:val="24"/>
        </w:rPr>
      </w:pPr>
      <w:r>
        <w:rPr>
          <w:rFonts w:hint="eastAsia"/>
          <w:color w:val="000000"/>
          <w:sz w:val="24"/>
        </w:rPr>
        <w:t>招标办联系人：陆老师，联系电话：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after="0" w:line="360" w:lineRule="auto"/>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after="0" w:line="360" w:lineRule="auto"/>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after="0" w:line="360" w:lineRule="auto"/>
        <w:ind w:firstLine="480" w:firstLineChars="200"/>
        <w:rPr>
          <w:color w:val="000000"/>
          <w:sz w:val="24"/>
        </w:rPr>
      </w:pPr>
    </w:p>
    <w:p>
      <w:pPr>
        <w:spacing w:after="0" w:line="360" w:lineRule="auto"/>
        <w:ind w:firstLine="480" w:firstLineChars="200"/>
        <w:rPr>
          <w:color w:val="000000"/>
          <w:sz w:val="24"/>
        </w:rPr>
      </w:pPr>
    </w:p>
    <w:p>
      <w:pPr>
        <w:spacing w:after="0" w:line="360" w:lineRule="auto"/>
        <w:ind w:firstLine="480" w:firstLineChars="200"/>
        <w:rPr>
          <w:color w:val="000000"/>
          <w:sz w:val="24"/>
        </w:rPr>
      </w:pPr>
    </w:p>
    <w:p>
      <w:pPr>
        <w:spacing w:after="0" w:line="360" w:lineRule="auto"/>
        <w:ind w:firstLine="480" w:firstLineChars="200"/>
        <w:rPr>
          <w:color w:val="000000"/>
          <w:sz w:val="24"/>
        </w:rPr>
      </w:pPr>
    </w:p>
    <w:p>
      <w:pPr>
        <w:widowControl/>
        <w:spacing w:after="0" w:line="360" w:lineRule="auto"/>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after="0" w:line="360" w:lineRule="auto"/>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rFonts w:hint="eastAsia"/>
          <w:color w:val="000000"/>
          <w:spacing w:val="15"/>
          <w:kern w:val="0"/>
          <w:sz w:val="24"/>
          <w:lang w:val="en-US" w:eastAsia="zh-CN"/>
        </w:rPr>
        <w:t>26</w:t>
      </w:r>
      <w:r>
        <w:rPr>
          <w:rFonts w:hint="eastAsia"/>
          <w:color w:val="000000"/>
          <w:spacing w:val="15"/>
          <w:kern w:val="0"/>
          <w:sz w:val="24"/>
        </w:rPr>
        <w:t>日</w:t>
      </w:r>
    </w:p>
    <w:p>
      <w:pPr>
        <w:spacing w:after="0" w:line="360" w:lineRule="auto"/>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spacing w:after="0" w:line="360" w:lineRule="exact"/>
        <w:rPr>
          <w:rFonts w:ascii="Calibri" w:hAnsi="Calibri"/>
          <w:sz w:val="24"/>
          <w:szCs w:val="24"/>
        </w:rPr>
      </w:pPr>
      <w:r>
        <w:rPr>
          <w:rFonts w:hint="eastAsia" w:ascii="Calibri" w:hAnsi="Calibri"/>
          <w:sz w:val="24"/>
          <w:szCs w:val="24"/>
        </w:rPr>
        <w:t>一、采购</w:t>
      </w:r>
      <w:r>
        <w:rPr>
          <w:rFonts w:hint="eastAsia" w:ascii="Calibri" w:hAnsi="Calibri"/>
          <w:color w:val="000000"/>
          <w:sz w:val="24"/>
          <w:szCs w:val="24"/>
        </w:rPr>
        <w:t>清单</w:t>
      </w:r>
    </w:p>
    <w:tbl>
      <w:tblPr>
        <w:tblStyle w:val="12"/>
        <w:tblW w:w="7953" w:type="dxa"/>
        <w:tblInd w:w="93" w:type="dxa"/>
        <w:tblLayout w:type="fixed"/>
        <w:tblCellMar>
          <w:top w:w="0" w:type="dxa"/>
          <w:left w:w="108" w:type="dxa"/>
          <w:bottom w:w="0" w:type="dxa"/>
          <w:right w:w="108" w:type="dxa"/>
        </w:tblCellMar>
      </w:tblPr>
      <w:tblGrid>
        <w:gridCol w:w="1008"/>
        <w:gridCol w:w="2882"/>
        <w:gridCol w:w="236"/>
        <w:gridCol w:w="2835"/>
        <w:gridCol w:w="992"/>
      </w:tblGrid>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序号</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设备名称</w:t>
            </w:r>
          </w:p>
        </w:tc>
        <w:tc>
          <w:tcPr>
            <w:tcW w:w="236" w:type="dxa"/>
            <w:tcBorders>
              <w:top w:val="single" w:color="auto" w:sz="4" w:space="0"/>
              <w:left w:val="single" w:color="auto" w:sz="4" w:space="0"/>
              <w:bottom w:val="single" w:color="auto" w:sz="4" w:space="0"/>
              <w:right w:val="nil"/>
            </w:tcBorders>
            <w:vAlign w:val="center"/>
          </w:tcPr>
          <w:p>
            <w:pPr>
              <w:widowControl/>
              <w:spacing w:after="0" w:line="360" w:lineRule="exact"/>
              <w:jc w:val="center"/>
              <w:rPr>
                <w:rFonts w:ascii="宋体" w:hAnsi="Calibri" w:cs="宋体"/>
                <w:kern w:val="0"/>
                <w:sz w:val="24"/>
                <w:szCs w:val="22"/>
              </w:rPr>
            </w:pPr>
          </w:p>
        </w:tc>
        <w:tc>
          <w:tcPr>
            <w:tcW w:w="2835" w:type="dxa"/>
            <w:tcBorders>
              <w:top w:val="single" w:color="auto" w:sz="4" w:space="0"/>
              <w:left w:val="nil"/>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规格要求</w:t>
            </w:r>
          </w:p>
        </w:tc>
        <w:tc>
          <w:tcPr>
            <w:tcW w:w="992" w:type="dxa"/>
            <w:tcBorders>
              <w:top w:val="single" w:color="auto" w:sz="4" w:space="0"/>
              <w:left w:val="nil"/>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数量</w:t>
            </w:r>
          </w:p>
        </w:tc>
      </w:tr>
      <w:tr>
        <w:tblPrEx>
          <w:tblLayout w:type="fixed"/>
          <w:tblCellMar>
            <w:top w:w="0" w:type="dxa"/>
            <w:left w:w="108" w:type="dxa"/>
            <w:bottom w:w="0" w:type="dxa"/>
            <w:right w:w="108" w:type="dxa"/>
          </w:tblCellMar>
        </w:tblPrEx>
        <w:trPr>
          <w:trHeight w:val="244" w:hRule="atLeast"/>
        </w:trPr>
        <w:tc>
          <w:tcPr>
            <w:tcW w:w="1008" w:type="dxa"/>
            <w:tcBorders>
              <w:top w:val="nil"/>
              <w:left w:val="single" w:color="auto" w:sz="4" w:space="0"/>
              <w:bottom w:val="single" w:color="auto" w:sz="4" w:space="0"/>
              <w:right w:val="single" w:color="auto" w:sz="4" w:space="0"/>
            </w:tcBorders>
            <w:vAlign w:val="center"/>
          </w:tcPr>
          <w:p>
            <w:pPr>
              <w:spacing w:after="0" w:line="360" w:lineRule="exact"/>
              <w:jc w:val="center"/>
              <w:rPr>
                <w:rFonts w:ascii="宋体" w:hAnsi="Calibri"/>
                <w:sz w:val="24"/>
                <w:szCs w:val="22"/>
              </w:rPr>
            </w:pPr>
            <w:r>
              <w:rPr>
                <w:rFonts w:ascii="宋体" w:hAnsi="宋体"/>
                <w:sz w:val="24"/>
                <w:szCs w:val="22"/>
              </w:rPr>
              <w:t>1</w:t>
            </w:r>
          </w:p>
        </w:tc>
        <w:tc>
          <w:tcPr>
            <w:tcW w:w="2882" w:type="dxa"/>
            <w:tcBorders>
              <w:top w:val="nil"/>
              <w:left w:val="single" w:color="auto" w:sz="4" w:space="0"/>
              <w:bottom w:val="single" w:color="auto" w:sz="4" w:space="0"/>
              <w:right w:val="single" w:color="auto" w:sz="4" w:space="0"/>
            </w:tcBorders>
            <w:vAlign w:val="center"/>
          </w:tcPr>
          <w:p>
            <w:pPr>
              <w:spacing w:after="0" w:line="360" w:lineRule="exact"/>
              <w:jc w:val="left"/>
              <w:rPr>
                <w:rFonts w:ascii="宋体" w:hAnsi="Calibri" w:cs="宋体"/>
                <w:sz w:val="24"/>
                <w:szCs w:val="22"/>
              </w:rPr>
            </w:pPr>
            <w:r>
              <w:rPr>
                <w:rFonts w:hint="eastAsia" w:ascii="Calibri" w:hAnsi="Calibri"/>
                <w:sz w:val="24"/>
                <w:szCs w:val="24"/>
              </w:rPr>
              <w:t>套装免漆复合实木</w:t>
            </w:r>
            <w:r>
              <w:rPr>
                <w:rFonts w:hint="eastAsia" w:ascii="Calibri" w:hAnsi="Calibri"/>
                <w:sz w:val="24"/>
                <w:szCs w:val="22"/>
              </w:rPr>
              <w:t>单扇门</w:t>
            </w:r>
          </w:p>
        </w:tc>
        <w:tc>
          <w:tcPr>
            <w:tcW w:w="236" w:type="dxa"/>
            <w:tcBorders>
              <w:top w:val="nil"/>
              <w:left w:val="single" w:color="auto" w:sz="4" w:space="0"/>
              <w:bottom w:val="single" w:color="auto" w:sz="4" w:space="0"/>
              <w:right w:val="nil"/>
            </w:tcBorders>
            <w:vAlign w:val="center"/>
          </w:tcPr>
          <w:p>
            <w:pPr>
              <w:spacing w:after="0" w:line="360" w:lineRule="exact"/>
              <w:jc w:val="center"/>
              <w:rPr>
                <w:rFonts w:ascii="Calibri" w:hAnsi="Calibri"/>
                <w:sz w:val="20"/>
                <w:szCs w:val="22"/>
              </w:rPr>
            </w:pPr>
          </w:p>
        </w:tc>
        <w:tc>
          <w:tcPr>
            <w:tcW w:w="2835"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hint="eastAsia" w:ascii="宋体" w:hAnsi="宋体" w:cs="宋体"/>
                <w:sz w:val="20"/>
                <w:szCs w:val="22"/>
              </w:rPr>
              <w:t>见产品参数条款</w:t>
            </w:r>
          </w:p>
        </w:tc>
        <w:tc>
          <w:tcPr>
            <w:tcW w:w="992"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ascii="Calibri" w:hAnsi="Calibri"/>
                <w:sz w:val="20"/>
                <w:szCs w:val="22"/>
              </w:rPr>
              <w:t>36</w:t>
            </w:r>
          </w:p>
        </w:tc>
      </w:tr>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Calibri"/>
                <w:sz w:val="24"/>
                <w:szCs w:val="22"/>
              </w:rPr>
            </w:pPr>
            <w:r>
              <w:rPr>
                <w:rFonts w:ascii="宋体" w:hAnsi="宋体"/>
                <w:sz w:val="24"/>
                <w:szCs w:val="22"/>
              </w:rPr>
              <w:t>2</w:t>
            </w:r>
          </w:p>
        </w:tc>
        <w:tc>
          <w:tcPr>
            <w:tcW w:w="2882" w:type="dxa"/>
            <w:tcBorders>
              <w:top w:val="nil"/>
              <w:left w:val="single" w:color="auto" w:sz="4" w:space="0"/>
              <w:bottom w:val="single" w:color="auto" w:sz="4" w:space="0"/>
              <w:right w:val="single" w:color="auto" w:sz="4" w:space="0"/>
            </w:tcBorders>
            <w:vAlign w:val="center"/>
          </w:tcPr>
          <w:p>
            <w:pPr>
              <w:spacing w:after="0" w:line="360" w:lineRule="exact"/>
              <w:jc w:val="left"/>
              <w:rPr>
                <w:rFonts w:ascii="宋体" w:hAnsi="Calibri" w:cs="宋体"/>
                <w:sz w:val="24"/>
                <w:szCs w:val="22"/>
              </w:rPr>
            </w:pPr>
            <w:r>
              <w:rPr>
                <w:rFonts w:hint="eastAsia" w:ascii="Calibri" w:hAnsi="Calibri"/>
                <w:sz w:val="24"/>
                <w:szCs w:val="24"/>
              </w:rPr>
              <w:t>套装免漆复合实木</w:t>
            </w:r>
            <w:r>
              <w:rPr>
                <w:rFonts w:hint="eastAsia" w:ascii="Calibri" w:hAnsi="Calibri"/>
                <w:sz w:val="24"/>
                <w:szCs w:val="22"/>
              </w:rPr>
              <w:t>子母门</w:t>
            </w:r>
          </w:p>
        </w:tc>
        <w:tc>
          <w:tcPr>
            <w:tcW w:w="236" w:type="dxa"/>
            <w:tcBorders>
              <w:top w:val="nil"/>
              <w:left w:val="single" w:color="auto" w:sz="4" w:space="0"/>
              <w:bottom w:val="single" w:color="auto" w:sz="4" w:space="0"/>
              <w:right w:val="nil"/>
            </w:tcBorders>
            <w:vAlign w:val="center"/>
          </w:tcPr>
          <w:p>
            <w:pPr>
              <w:spacing w:after="0" w:line="360" w:lineRule="exact"/>
              <w:jc w:val="center"/>
              <w:rPr>
                <w:rFonts w:ascii="Calibri" w:hAnsi="Calibri"/>
                <w:sz w:val="20"/>
                <w:szCs w:val="22"/>
              </w:rPr>
            </w:pPr>
          </w:p>
        </w:tc>
        <w:tc>
          <w:tcPr>
            <w:tcW w:w="2835"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hint="eastAsia" w:ascii="宋体" w:hAnsi="宋体" w:cs="宋体"/>
                <w:sz w:val="20"/>
                <w:szCs w:val="22"/>
              </w:rPr>
              <w:t>见产品参数条款</w:t>
            </w:r>
          </w:p>
        </w:tc>
        <w:tc>
          <w:tcPr>
            <w:tcW w:w="992"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ascii="Calibri" w:hAnsi="Calibri"/>
                <w:sz w:val="20"/>
                <w:szCs w:val="22"/>
              </w:rPr>
              <w:t>36</w:t>
            </w:r>
          </w:p>
        </w:tc>
      </w:tr>
    </w:tbl>
    <w:p>
      <w:pPr>
        <w:spacing w:after="0" w:line="360" w:lineRule="exact"/>
        <w:ind w:firstLine="360" w:firstLineChars="150"/>
        <w:rPr>
          <w:rFonts w:ascii="Calibri" w:hAnsi="Calibri"/>
          <w:b/>
          <w:sz w:val="24"/>
          <w:szCs w:val="24"/>
        </w:rPr>
      </w:pPr>
      <w:r>
        <w:rPr>
          <w:rFonts w:ascii="Calibri" w:hAnsi="Calibri"/>
          <w:b/>
          <w:sz w:val="24"/>
          <w:szCs w:val="24"/>
        </w:rPr>
        <w:t>1.</w:t>
      </w:r>
      <w:r>
        <w:rPr>
          <w:rFonts w:hint="eastAsia" w:ascii="Calibri" w:hAnsi="Calibri"/>
          <w:b/>
          <w:sz w:val="24"/>
          <w:szCs w:val="24"/>
        </w:rPr>
        <w:t>投标前</w:t>
      </w:r>
      <w:r>
        <w:rPr>
          <w:rFonts w:hint="eastAsia" w:ascii="Calibri" w:hAnsi="Calibri"/>
          <w:b/>
          <w:sz w:val="24"/>
          <w:szCs w:val="24"/>
          <w:lang w:val="en-US" w:eastAsia="zh-CN"/>
        </w:rPr>
        <w:t>应</w:t>
      </w:r>
      <w:r>
        <w:rPr>
          <w:rFonts w:hint="eastAsia" w:ascii="Calibri" w:hAnsi="Calibri"/>
          <w:b/>
          <w:sz w:val="24"/>
          <w:szCs w:val="24"/>
        </w:rPr>
        <w:t>先实地考察，了解实际情况后方可投标。</w:t>
      </w:r>
    </w:p>
    <w:p>
      <w:pPr>
        <w:spacing w:after="0" w:line="360" w:lineRule="exact"/>
        <w:ind w:firstLine="360" w:firstLineChars="150"/>
        <w:rPr>
          <w:rFonts w:ascii="Calibri" w:hAnsi="Calibri"/>
          <w:b/>
          <w:sz w:val="24"/>
          <w:szCs w:val="24"/>
        </w:rPr>
      </w:pPr>
      <w:r>
        <w:rPr>
          <w:rFonts w:ascii="Calibri" w:hAnsi="Calibri"/>
          <w:b/>
          <w:sz w:val="24"/>
          <w:szCs w:val="24"/>
        </w:rPr>
        <w:t>2.</w:t>
      </w:r>
      <w:r>
        <w:rPr>
          <w:rFonts w:hint="eastAsia" w:ascii="Calibri" w:hAnsi="Calibri"/>
          <w:b/>
          <w:sz w:val="24"/>
          <w:szCs w:val="24"/>
        </w:rPr>
        <w:t>木门请使用免漆材质，要求耐用持久不掉色，颜色符合计算机与软件工程学院整体主色调。</w:t>
      </w:r>
    </w:p>
    <w:p>
      <w:pPr>
        <w:spacing w:after="0" w:line="360" w:lineRule="exact"/>
        <w:ind w:firstLine="360" w:firstLineChars="150"/>
        <w:rPr>
          <w:rFonts w:ascii="Calibri" w:hAnsi="Calibri"/>
          <w:b/>
          <w:sz w:val="24"/>
          <w:szCs w:val="24"/>
        </w:rPr>
      </w:pPr>
      <w:r>
        <w:rPr>
          <w:rFonts w:ascii="Calibri" w:hAnsi="Calibri"/>
          <w:b/>
          <w:sz w:val="24"/>
          <w:szCs w:val="24"/>
        </w:rPr>
        <w:t>3.</w:t>
      </w:r>
      <w:r>
        <w:rPr>
          <w:rFonts w:hint="eastAsia" w:ascii="Calibri" w:hAnsi="Calibri"/>
          <w:b/>
          <w:sz w:val="24"/>
          <w:szCs w:val="24"/>
        </w:rPr>
        <w:t>门内需走控制门禁锁的控制信号网线（</w:t>
      </w:r>
      <w:r>
        <w:rPr>
          <w:rFonts w:ascii="Calibri" w:hAnsi="Calibri"/>
          <w:b/>
          <w:sz w:val="24"/>
          <w:szCs w:val="24"/>
        </w:rPr>
        <w:t>POE</w:t>
      </w:r>
      <w:r>
        <w:rPr>
          <w:rFonts w:hint="eastAsia" w:ascii="Calibri" w:hAnsi="Calibri"/>
          <w:b/>
          <w:sz w:val="24"/>
          <w:szCs w:val="24"/>
        </w:rPr>
        <w:t>线），请参考以下样图自行设计信号线走线，要求美观方便安装实用。门内走线需考虑门转角走线问题，不能压到信号线，门内以及门框走线请内置线槽管道，方便后期信号线安装维护。（信号线直径：</w:t>
      </w:r>
      <w:r>
        <w:rPr>
          <w:rFonts w:ascii="Calibri" w:hAnsi="Calibri"/>
          <w:b/>
          <w:sz w:val="24"/>
          <w:szCs w:val="24"/>
        </w:rPr>
        <w:t>7mm</w:t>
      </w:r>
      <w:r>
        <w:rPr>
          <w:rFonts w:hint="eastAsia" w:ascii="Calibri" w:hAnsi="Calibri"/>
          <w:b/>
          <w:sz w:val="24"/>
          <w:szCs w:val="24"/>
        </w:rPr>
        <w:t>）</w:t>
      </w:r>
    </w:p>
    <w:p>
      <w:pPr>
        <w:spacing w:after="0" w:line="360" w:lineRule="exact"/>
        <w:ind w:firstLine="360" w:firstLineChars="150"/>
        <w:rPr>
          <w:rFonts w:ascii="Calibri" w:hAnsi="Calibri"/>
          <w:b/>
          <w:sz w:val="24"/>
          <w:szCs w:val="24"/>
        </w:rPr>
      </w:pPr>
      <w:r>
        <w:rPr>
          <w:rFonts w:ascii="Calibri" w:hAnsi="Calibri"/>
          <w:b/>
          <w:sz w:val="24"/>
          <w:szCs w:val="24"/>
        </w:rPr>
        <w:t xml:space="preserve">4. </w:t>
      </w:r>
      <w:r>
        <w:rPr>
          <w:rFonts w:hint="eastAsia" w:ascii="Calibri" w:hAnsi="Calibri"/>
          <w:b/>
          <w:sz w:val="24"/>
          <w:szCs w:val="24"/>
        </w:rPr>
        <w:t>投标人根据实地考察提供一份实施方案，提供的针对本项目所设计的安装（原旧门拆除）方案的合理性、先进性、扩展性和是否满足采购人需求等方面。方案需结合现场布局实际环境提供产品安装示意图。安装实际要求不影响正常教学工作，合理安排时间。</w:t>
      </w:r>
    </w:p>
    <w:p>
      <w:pPr>
        <w:spacing w:after="0" w:line="360" w:lineRule="exact"/>
        <w:rPr>
          <w:rFonts w:ascii="Calibri" w:hAnsi="Calibri"/>
          <w:sz w:val="24"/>
          <w:szCs w:val="24"/>
        </w:rPr>
      </w:pPr>
      <w:r>
        <w:rPr>
          <w:rFonts w:hint="eastAsia" w:ascii="Calibri" w:hAnsi="Calibri"/>
          <w:sz w:val="24"/>
          <w:szCs w:val="24"/>
        </w:rPr>
        <w:t>二、技术要求及样品要求</w:t>
      </w:r>
    </w:p>
    <w:p>
      <w:pPr>
        <w:spacing w:after="0" w:line="360" w:lineRule="exact"/>
        <w:rPr>
          <w:rFonts w:ascii="Calibri" w:hAnsi="Calibri"/>
          <w:sz w:val="24"/>
          <w:szCs w:val="24"/>
        </w:rPr>
      </w:pPr>
      <w:r>
        <w:rPr>
          <w:rFonts w:ascii="Calibri" w:hAnsi="Calibri"/>
          <w:sz w:val="24"/>
          <w:szCs w:val="24"/>
        </w:rPr>
        <w:t>6.1</w:t>
      </w:r>
      <w:r>
        <w:rPr>
          <w:rFonts w:hint="eastAsia" w:ascii="Calibri" w:hAnsi="Calibri"/>
          <w:sz w:val="24"/>
          <w:szCs w:val="24"/>
        </w:rPr>
        <w:t>门产品参数要求：</w:t>
      </w:r>
    </w:p>
    <w:tbl>
      <w:tblPr>
        <w:tblStyle w:val="12"/>
        <w:tblW w:w="8804" w:type="dxa"/>
        <w:tblInd w:w="0" w:type="dxa"/>
        <w:tblLayout w:type="fixed"/>
        <w:tblCellMar>
          <w:top w:w="15" w:type="dxa"/>
          <w:left w:w="15" w:type="dxa"/>
          <w:bottom w:w="15" w:type="dxa"/>
          <w:right w:w="15" w:type="dxa"/>
        </w:tblCellMar>
      </w:tblPr>
      <w:tblGrid>
        <w:gridCol w:w="992"/>
        <w:gridCol w:w="157"/>
        <w:gridCol w:w="993"/>
        <w:gridCol w:w="567"/>
        <w:gridCol w:w="567"/>
        <w:gridCol w:w="1275"/>
        <w:gridCol w:w="709"/>
        <w:gridCol w:w="3544"/>
      </w:tblGrid>
      <w:tr>
        <w:tblPrEx>
          <w:tblLayout w:type="fixed"/>
          <w:tblCellMar>
            <w:top w:w="15" w:type="dxa"/>
            <w:left w:w="15" w:type="dxa"/>
            <w:bottom w:w="15" w:type="dxa"/>
            <w:right w:w="15" w:type="dxa"/>
          </w:tblCellMar>
        </w:tblPrEx>
        <w:trPr>
          <w:trHeight w:val="645" w:hRule="atLeast"/>
        </w:trPr>
        <w:tc>
          <w:tcPr>
            <w:tcW w:w="992" w:type="dxa"/>
          </w:tcPr>
          <w:p>
            <w:pPr>
              <w:spacing w:after="0" w:line="360" w:lineRule="exact"/>
              <w:jc w:val="center"/>
              <w:rPr>
                <w:rFonts w:ascii="Calibri" w:hAnsi="Calibri"/>
                <w:sz w:val="24"/>
                <w:szCs w:val="24"/>
              </w:rPr>
            </w:pPr>
          </w:p>
        </w:tc>
        <w:tc>
          <w:tcPr>
            <w:tcW w:w="7812" w:type="dxa"/>
            <w:gridSpan w:val="7"/>
            <w:vAlign w:val="center"/>
          </w:tcPr>
          <w:p>
            <w:pPr>
              <w:spacing w:after="0" w:line="360" w:lineRule="exact"/>
              <w:jc w:val="center"/>
              <w:rPr>
                <w:rFonts w:ascii="宋体" w:hAnsi="Calibri" w:cs="宋体"/>
                <w:color w:val="000000"/>
                <w:sz w:val="36"/>
                <w:szCs w:val="36"/>
              </w:rPr>
            </w:pPr>
            <w:r>
              <w:rPr>
                <w:rFonts w:hint="eastAsia" w:ascii="Calibri" w:hAnsi="Calibri"/>
                <w:sz w:val="24"/>
                <w:szCs w:val="24"/>
              </w:rPr>
              <w:t>套装免漆复合实木门表</w:t>
            </w:r>
          </w:p>
        </w:tc>
      </w:tr>
      <w:tr>
        <w:tblPrEx>
          <w:tblLayout w:type="fixed"/>
          <w:tblCellMar>
            <w:top w:w="15" w:type="dxa"/>
            <w:left w:w="15" w:type="dxa"/>
            <w:bottom w:w="15" w:type="dxa"/>
            <w:right w:w="15" w:type="dxa"/>
          </w:tblCellMar>
        </w:tblPrEx>
        <w:trPr>
          <w:trHeight w:val="610" w:hRule="atLeast"/>
        </w:trPr>
        <w:tc>
          <w:tcPr>
            <w:tcW w:w="1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楼号</w:t>
            </w:r>
          </w:p>
        </w:tc>
        <w:tc>
          <w:tcPr>
            <w:tcW w:w="993" w:type="dxa"/>
            <w:tcBorders>
              <w:top w:val="single" w:color="000000" w:sz="4" w:space="0"/>
              <w:left w:val="single" w:color="000000" w:sz="4" w:space="0"/>
              <w:bottom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产品</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宽（</w:t>
            </w:r>
            <w:r>
              <w:rPr>
                <w:rFonts w:ascii="宋体" w:hAnsi="宋体" w:cs="宋体"/>
                <w:color w:val="000000"/>
                <w:kern w:val="0"/>
                <w:sz w:val="22"/>
                <w:szCs w:val="22"/>
              </w:rPr>
              <w:t>m</w:t>
            </w:r>
            <w:r>
              <w:rPr>
                <w:rFonts w:hint="eastAsia" w:ascii="宋体" w:hAnsi="宋体" w:cs="宋体"/>
                <w:color w:val="000000"/>
                <w:kern w:val="0"/>
                <w:sz w:val="22"/>
                <w:szCs w:val="22"/>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高（</w:t>
            </w:r>
            <w:r>
              <w:rPr>
                <w:rFonts w:ascii="宋体" w:hAnsi="宋体" w:cs="宋体"/>
                <w:color w:val="000000"/>
                <w:kern w:val="0"/>
                <w:sz w:val="22"/>
                <w:szCs w:val="22"/>
              </w:rPr>
              <w:t>m</w:t>
            </w:r>
            <w:r>
              <w:rPr>
                <w:rFonts w:hint="eastAsia" w:ascii="宋体" w:hAnsi="宋体" w:cs="宋体"/>
                <w:color w:val="000000"/>
                <w:kern w:val="0"/>
                <w:sz w:val="22"/>
                <w:szCs w:val="22"/>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厚度（</w:t>
            </w:r>
            <w:r>
              <w:rPr>
                <w:rFonts w:ascii="宋体" w:hAnsi="宋体" w:cs="宋体"/>
                <w:color w:val="000000"/>
                <w:kern w:val="0"/>
                <w:sz w:val="22"/>
                <w:szCs w:val="22"/>
              </w:rPr>
              <w:t>mm</w:t>
            </w:r>
            <w:r>
              <w:rPr>
                <w:rFonts w:hint="eastAsia" w:ascii="宋体" w:hAnsi="宋体" w:cs="宋体"/>
                <w:color w:val="000000"/>
                <w:kern w:val="0"/>
                <w:sz w:val="22"/>
                <w:szCs w:val="22"/>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数量（扇）</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备注</w:t>
            </w:r>
          </w:p>
        </w:tc>
      </w:tr>
      <w:tr>
        <w:tblPrEx>
          <w:tblLayout w:type="fixed"/>
          <w:tblCellMar>
            <w:top w:w="15" w:type="dxa"/>
            <w:left w:w="15" w:type="dxa"/>
            <w:bottom w:w="15" w:type="dxa"/>
            <w:right w:w="15" w:type="dxa"/>
          </w:tblCellMar>
        </w:tblPrEx>
        <w:trPr>
          <w:trHeight w:val="435" w:hRule="atLeast"/>
        </w:trPr>
        <w:tc>
          <w:tcPr>
            <w:tcW w:w="11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知行楼</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单扇门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45</w:t>
            </w:r>
            <w:r>
              <w:rPr>
                <w:rFonts w:hint="eastAsia" w:ascii="宋体" w:hAnsi="Calibri" w:cs="宋体"/>
                <w:color w:val="000000"/>
                <w:sz w:val="22"/>
                <w:szCs w:val="22"/>
              </w:rPr>
              <w:t>至</w:t>
            </w:r>
            <w:r>
              <w:rPr>
                <w:rFonts w:ascii="宋体" w:hAnsi="Calibri" w:cs="宋体"/>
                <w:color w:val="000000"/>
                <w:sz w:val="22"/>
                <w:szCs w:val="22"/>
              </w:rPr>
              <w:t>50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36</w:t>
            </w:r>
          </w:p>
        </w:tc>
        <w:tc>
          <w:tcPr>
            <w:tcW w:w="3544" w:type="dxa"/>
            <w:vMerge w:val="restart"/>
            <w:tcBorders>
              <w:top w:val="single" w:color="000000" w:sz="4" w:space="0"/>
              <w:left w:val="single" w:color="000000" w:sz="4" w:space="0"/>
              <w:right w:val="single" w:color="000000" w:sz="4" w:space="0"/>
            </w:tcBorders>
            <w:vAlign w:val="center"/>
          </w:tcPr>
          <w:p>
            <w:pPr>
              <w:widowControl/>
              <w:numPr>
                <w:ilvl w:val="0"/>
                <w:numId w:val="1"/>
              </w:numPr>
              <w:spacing w:after="0" w:line="360" w:lineRule="exact"/>
              <w:jc w:val="left"/>
              <w:textAlignment w:val="center"/>
              <w:rPr>
                <w:rFonts w:ascii="宋体" w:hAnsi="Calibri" w:cs="宋体"/>
                <w:color w:val="000000"/>
                <w:sz w:val="22"/>
                <w:szCs w:val="22"/>
              </w:rPr>
            </w:pPr>
            <w:r>
              <w:rPr>
                <w:rFonts w:hint="eastAsia" w:ascii="宋体" w:hAnsi="Calibri" w:cs="宋体"/>
                <w:color w:val="000000"/>
                <w:sz w:val="22"/>
                <w:szCs w:val="22"/>
              </w:rPr>
              <w:t>木门材质：套装免漆复合实木；</w:t>
            </w:r>
          </w:p>
          <w:p>
            <w:pPr>
              <w:widowControl/>
              <w:numPr>
                <w:ilvl w:val="0"/>
                <w:numId w:val="1"/>
              </w:numPr>
              <w:spacing w:after="0" w:line="360" w:lineRule="exact"/>
              <w:jc w:val="left"/>
              <w:textAlignment w:val="center"/>
              <w:rPr>
                <w:rFonts w:ascii="宋体" w:hAnsi="Calibri" w:cs="宋体"/>
                <w:color w:val="000000"/>
                <w:sz w:val="22"/>
                <w:szCs w:val="22"/>
              </w:rPr>
            </w:pPr>
            <w:r>
              <w:rPr>
                <w:rFonts w:hint="eastAsia" w:ascii="宋体" w:hAnsi="Calibri" w:cs="宋体"/>
                <w:color w:val="000000"/>
                <w:sz w:val="22"/>
                <w:szCs w:val="22"/>
              </w:rPr>
              <w:t>★木门玻璃：门窗玻璃厚度</w:t>
            </w:r>
            <w:r>
              <w:rPr>
                <w:rFonts w:ascii="宋体" w:hAnsi="Calibri" w:cs="宋体"/>
                <w:color w:val="000000"/>
                <w:sz w:val="22"/>
                <w:szCs w:val="22"/>
              </w:rPr>
              <w:t>&gt;=6mm</w:t>
            </w:r>
            <w:r>
              <w:rPr>
                <w:rFonts w:hint="eastAsia" w:ascii="宋体" w:hAnsi="Calibri" w:cs="宋体"/>
                <w:color w:val="000000"/>
                <w:sz w:val="22"/>
                <w:szCs w:val="22"/>
              </w:rPr>
              <w:t>，按规范钢化处理；</w:t>
            </w:r>
          </w:p>
          <w:p>
            <w:pPr>
              <w:widowControl/>
              <w:numPr>
                <w:ilvl w:val="0"/>
                <w:numId w:val="1"/>
              </w:numPr>
              <w:spacing w:after="0" w:line="360" w:lineRule="exact"/>
              <w:jc w:val="left"/>
              <w:textAlignment w:val="center"/>
              <w:rPr>
                <w:rFonts w:ascii="宋体" w:hAnsi="Calibri" w:cs="宋体"/>
                <w:b/>
                <w:color w:val="000000"/>
                <w:sz w:val="22"/>
                <w:szCs w:val="22"/>
              </w:rPr>
            </w:pPr>
            <w:r>
              <w:rPr>
                <w:rFonts w:ascii="宋体" w:hAnsi="Calibri" w:cs="宋体"/>
                <w:b/>
                <w:color w:val="000000"/>
                <w:sz w:val="22"/>
                <w:szCs w:val="22"/>
              </w:rPr>
              <w:t>11</w:t>
            </w:r>
            <w:r>
              <w:rPr>
                <w:rFonts w:hint="eastAsia" w:ascii="宋体" w:hAnsi="Calibri" w:cs="宋体"/>
                <w:b/>
                <w:color w:val="000000"/>
                <w:sz w:val="22"/>
                <w:szCs w:val="22"/>
              </w:rPr>
              <w:t>号楼</w:t>
            </w:r>
            <w:r>
              <w:rPr>
                <w:rFonts w:ascii="宋体" w:hAnsi="Calibri" w:cs="宋体"/>
                <w:b/>
                <w:color w:val="000000"/>
                <w:sz w:val="22"/>
                <w:szCs w:val="22"/>
              </w:rPr>
              <w:t>1-3</w:t>
            </w:r>
            <w:r>
              <w:rPr>
                <w:rFonts w:hint="eastAsia" w:ascii="宋体" w:hAnsi="Calibri" w:cs="宋体"/>
                <w:b/>
                <w:color w:val="000000"/>
                <w:sz w:val="22"/>
                <w:szCs w:val="22"/>
              </w:rPr>
              <w:t>层实验室门需要外开，</w:t>
            </w:r>
            <w:r>
              <w:rPr>
                <w:rFonts w:ascii="宋体" w:hAnsi="Calibri" w:cs="宋体"/>
                <w:b/>
                <w:color w:val="000000"/>
                <w:sz w:val="22"/>
                <w:szCs w:val="22"/>
              </w:rPr>
              <w:t>4-5</w:t>
            </w:r>
            <w:r>
              <w:rPr>
                <w:rFonts w:hint="eastAsia" w:ascii="宋体" w:hAnsi="Calibri" w:cs="宋体"/>
                <w:b/>
                <w:color w:val="000000"/>
                <w:sz w:val="22"/>
                <w:szCs w:val="22"/>
              </w:rPr>
              <w:t>层办公室门需要内开；</w:t>
            </w:r>
          </w:p>
        </w:tc>
      </w:tr>
      <w:tr>
        <w:tblPrEx>
          <w:tblLayout w:type="fixed"/>
          <w:tblCellMar>
            <w:top w:w="15" w:type="dxa"/>
            <w:left w:w="15" w:type="dxa"/>
            <w:bottom w:w="15" w:type="dxa"/>
            <w:right w:w="15" w:type="dxa"/>
          </w:tblCellMar>
        </w:tblPrEx>
        <w:trPr>
          <w:trHeight w:val="435" w:hRule="atLeast"/>
        </w:trPr>
        <w:tc>
          <w:tcPr>
            <w:tcW w:w="11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子母门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1.4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45</w:t>
            </w:r>
            <w:r>
              <w:rPr>
                <w:rFonts w:hint="eastAsia" w:ascii="宋体" w:hAnsi="Calibri" w:cs="宋体"/>
                <w:color w:val="000000"/>
                <w:sz w:val="22"/>
                <w:szCs w:val="22"/>
              </w:rPr>
              <w:t>至</w:t>
            </w:r>
            <w:r>
              <w:rPr>
                <w:rFonts w:ascii="宋体" w:hAnsi="Calibri" w:cs="宋体"/>
                <w:color w:val="000000"/>
                <w:sz w:val="22"/>
                <w:szCs w:val="22"/>
              </w:rPr>
              <w:t>50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36</w:t>
            </w:r>
          </w:p>
        </w:tc>
        <w:tc>
          <w:tcPr>
            <w:tcW w:w="3544" w:type="dxa"/>
            <w:vMerge w:val="continue"/>
            <w:tcBorders>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p>
        </w:tc>
      </w:tr>
    </w:tbl>
    <w:p>
      <w:pPr>
        <w:tabs>
          <w:tab w:val="left" w:pos="312"/>
        </w:tabs>
        <w:spacing w:after="0" w:line="360" w:lineRule="exact"/>
        <w:rPr>
          <w:rFonts w:ascii="Calibri" w:hAnsi="Calibri"/>
          <w:bCs/>
          <w:sz w:val="24"/>
          <w:szCs w:val="24"/>
        </w:rPr>
      </w:pPr>
      <w:r>
        <w:rPr>
          <w:rFonts w:ascii="Calibri" w:hAnsi="Calibri"/>
          <w:bCs/>
          <w:sz w:val="24"/>
          <w:szCs w:val="24"/>
        </w:rPr>
        <w:t xml:space="preserve">6.2 </w:t>
      </w:r>
      <w:r>
        <w:rPr>
          <w:rFonts w:hint="eastAsia" w:ascii="Calibri" w:hAnsi="Calibri"/>
          <w:bCs/>
          <w:sz w:val="24"/>
          <w:szCs w:val="24"/>
        </w:rPr>
        <w:t>锁具开孔参数要求</w:t>
      </w:r>
    </w:p>
    <w:p>
      <w:pPr>
        <w:widowControl/>
        <w:jc w:val="left"/>
        <w:rPr>
          <w:rFonts w:ascii="Calibri" w:hAnsi="Calibri"/>
          <w:szCs w:val="22"/>
        </w:rPr>
      </w:pPr>
      <w:r>
        <w:rPr>
          <w:rFonts w:ascii="宋体" w:hAnsi="宋体" w:cs="宋体"/>
          <w:kern w:val="0"/>
          <w:sz w:val="24"/>
          <w:szCs w:val="24"/>
        </w:rPr>
        <mc:AlternateContent>
          <mc:Choice Requires="wps">
            <w:drawing>
              <wp:inline distT="0" distB="0" distL="114300" distR="114300">
                <wp:extent cx="2743200" cy="2743200"/>
                <wp:effectExtent l="0" t="0" r="0" b="0"/>
                <wp:docPr id="4"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43200" cy="2743200"/>
                        </a:xfrm>
                        <a:prstGeom prst="rect">
                          <a:avLst/>
                        </a:prstGeom>
                        <a:noFill/>
                        <a:ln>
                          <a:noFill/>
                        </a:ln>
                      </wps:spPr>
                      <wps:bodyPr upright="1"/>
                    </wps:wsp>
                  </a:graphicData>
                </a:graphic>
              </wp:inline>
            </w:drawing>
          </mc:Choice>
          <mc:Fallback>
            <w:pict>
              <v:rect id="图片 1" o:spid="_x0000_s1026" o:spt="1" style="height:216pt;width:216pt;" filled="f" stroked="f" coordsize="21600,21600" o:gfxdata="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iZNN0wAAAAUBAAAPAAAAAAAAAAEAIAAAACIAAABkcnMvZG93&#10;bnJldi54bWxQSwECFAAUAAAACACHTuJAPDLu6ZMBAAAVAwAADgAAAAAAAAABACAAAAAiAQAAZHJz&#10;L2Uyb0RvYy54bWxQSwUGAAAAAAYABgBZAQAAJwUAAAAA&#10;">
                <v:fill on="f" focussize="0,0"/>
                <v:stroke on="f"/>
                <v:imagedata o:title=""/>
                <o:lock v:ext="edit" aspectratio="t"/>
                <w10:wrap type="none"/>
                <w10:anchorlock/>
              </v:rect>
            </w:pict>
          </mc:Fallback>
        </mc:AlternateContent>
      </w:r>
    </w:p>
    <w:p>
      <w:pPr>
        <w:tabs>
          <w:tab w:val="left" w:pos="312"/>
        </w:tabs>
        <w:spacing w:line="400" w:lineRule="exact"/>
        <w:ind w:firstLine="480" w:firstLineChars="200"/>
        <w:rPr>
          <w:rFonts w:ascii="Calibri" w:hAnsi="Calibri"/>
          <w:bCs/>
          <w:sz w:val="24"/>
          <w:szCs w:val="24"/>
        </w:rPr>
      </w:pPr>
      <w:r>
        <w:rPr>
          <w:rFonts w:hint="eastAsia" w:ascii="Calibri" w:hAnsi="Calibri"/>
          <w:bCs/>
          <w:sz w:val="24"/>
          <w:szCs w:val="24"/>
        </w:rPr>
        <w:t>开孔高度根据现有勘察高度定位，在门锁长方形开孔处，延门水平位置内部留有</w:t>
      </w:r>
      <w:r>
        <w:rPr>
          <w:rFonts w:ascii="Calibri" w:hAnsi="Calibri"/>
          <w:bCs/>
          <w:sz w:val="24"/>
          <w:szCs w:val="24"/>
        </w:rPr>
        <w:t>PVC</w:t>
      </w:r>
      <w:r>
        <w:rPr>
          <w:rFonts w:hint="eastAsia" w:ascii="Calibri" w:hAnsi="Calibri"/>
          <w:bCs/>
          <w:sz w:val="24"/>
          <w:szCs w:val="24"/>
        </w:rPr>
        <w:t>管线用于网络通信线路安装部署。</w:t>
      </w:r>
    </w:p>
    <w:p>
      <w:pPr>
        <w:tabs>
          <w:tab w:val="left" w:pos="312"/>
        </w:tabs>
        <w:spacing w:line="400" w:lineRule="exact"/>
        <w:rPr>
          <w:rFonts w:ascii="Calibri" w:hAnsi="Calibri"/>
          <w:sz w:val="24"/>
          <w:szCs w:val="24"/>
        </w:rPr>
      </w:pPr>
      <w:r>
        <w:rPr>
          <w:rFonts w:hint="eastAsia" w:ascii="Calibri" w:hAnsi="Calibri"/>
          <w:b/>
          <w:sz w:val="24"/>
          <w:szCs w:val="24"/>
        </w:rPr>
        <w:t>注</w:t>
      </w:r>
      <w:r>
        <w:rPr>
          <w:rFonts w:ascii="Calibri" w:hAnsi="Calibri"/>
          <w:b/>
          <w:sz w:val="24"/>
          <w:szCs w:val="24"/>
        </w:rPr>
        <w:t xml:space="preserve">: </w:t>
      </w:r>
      <w:r>
        <w:rPr>
          <w:rFonts w:hint="eastAsia" w:ascii="Calibri" w:hAnsi="Calibri"/>
          <w:b/>
          <w:sz w:val="24"/>
          <w:szCs w:val="24"/>
        </w:rPr>
        <w:t>表中尺寸仅供参考，制作安装前应以实地实测为准，加工制作时，应按照装饰面层厚度由制作单位予以调整，考虑不同的粉刷面层或贴面厚度。具体加工尺寸及数量由中标单位到现场核查。</w:t>
      </w:r>
    </w:p>
    <w:p>
      <w:pPr>
        <w:numPr>
          <w:ilvl w:val="0"/>
          <w:numId w:val="2"/>
        </w:numPr>
        <w:spacing w:line="400" w:lineRule="exact"/>
        <w:ind w:firstLine="420"/>
        <w:rPr>
          <w:rFonts w:ascii="Calibri" w:hAnsi="Calibri"/>
          <w:sz w:val="24"/>
          <w:szCs w:val="24"/>
        </w:rPr>
      </w:pPr>
      <w:r>
        <w:rPr>
          <w:rFonts w:hint="eastAsia" w:ascii="Calibri" w:hAnsi="Calibri"/>
          <w:sz w:val="24"/>
          <w:szCs w:val="24"/>
        </w:rPr>
        <w:t>颜色：根据计算机与软件工程学院主色调自由发挥设计，</w:t>
      </w:r>
      <w:r>
        <w:rPr>
          <w:rFonts w:hint="eastAsia" w:ascii="Calibri" w:hAnsi="Calibri"/>
          <w:szCs w:val="22"/>
        </w:rPr>
        <w:t>最终颜色须由采购人确定</w:t>
      </w:r>
      <w:r>
        <w:rPr>
          <w:rFonts w:hint="eastAsia" w:ascii="Calibri" w:hAnsi="Calibri"/>
          <w:sz w:val="24"/>
          <w:szCs w:val="24"/>
        </w:rPr>
        <w:t>；</w:t>
      </w:r>
    </w:p>
    <w:p>
      <w:pPr>
        <w:numPr>
          <w:ilvl w:val="0"/>
          <w:numId w:val="2"/>
        </w:numPr>
        <w:spacing w:line="400" w:lineRule="exact"/>
        <w:ind w:firstLine="420" w:firstLineChars="175"/>
        <w:rPr>
          <w:rFonts w:ascii="Calibri" w:hAnsi="Calibri"/>
          <w:sz w:val="24"/>
          <w:szCs w:val="24"/>
        </w:rPr>
      </w:pPr>
      <w:r>
        <w:rPr>
          <w:rFonts w:hint="eastAsia" w:ascii="Calibri" w:hAnsi="Calibri"/>
          <w:sz w:val="24"/>
          <w:szCs w:val="24"/>
        </w:rPr>
        <w:t>优化门内走线槽设计，方便后期信号线的安装以及更换。</w:t>
      </w:r>
    </w:p>
    <w:p>
      <w:pPr>
        <w:spacing w:line="400" w:lineRule="exact"/>
        <w:rPr>
          <w:rFonts w:ascii="Calibri" w:hAnsi="Calibri"/>
          <w:sz w:val="24"/>
          <w:szCs w:val="24"/>
        </w:rPr>
      </w:pPr>
      <w:r>
        <w:rPr>
          <w:rFonts w:ascii="Calibri" w:hAnsi="Calibri"/>
          <w:sz w:val="24"/>
          <w:szCs w:val="24"/>
        </w:rPr>
        <w:t>6.2</w:t>
      </w:r>
      <w:r>
        <w:rPr>
          <w:rFonts w:hint="eastAsia" w:ascii="Calibri" w:hAnsi="Calibri"/>
          <w:sz w:val="24"/>
          <w:szCs w:val="24"/>
        </w:rPr>
        <w:t>安装布线要求：</w:t>
      </w:r>
    </w:p>
    <w:p>
      <w:pPr>
        <w:spacing w:line="400" w:lineRule="exact"/>
        <w:ind w:firstLine="480" w:firstLineChars="200"/>
        <w:rPr>
          <w:rFonts w:ascii="Calibri" w:hAnsi="Calibri"/>
          <w:sz w:val="24"/>
          <w:szCs w:val="24"/>
        </w:rPr>
      </w:pPr>
      <w:r>
        <w:rPr>
          <w:rFonts w:hint="eastAsia" w:ascii="Calibri" w:hAnsi="Calibri"/>
          <w:sz w:val="24"/>
          <w:szCs w:val="24"/>
        </w:rPr>
        <w:t>按照下图所示走线方式，部署通信线路，做好通信线的隐藏，做到方便后期布线规划。★门内走线要求方式走线管道，方便后期通信线路的安装与维护。</w:t>
      </w:r>
    </w:p>
    <w:p>
      <w:pPr>
        <w:spacing w:line="400" w:lineRule="exact"/>
        <w:ind w:firstLine="480" w:firstLineChars="200"/>
        <w:rPr>
          <w:rFonts w:ascii="Calibri" w:hAnsi="Calibri"/>
          <w:b/>
          <w:sz w:val="24"/>
          <w:szCs w:val="24"/>
        </w:rPr>
      </w:pPr>
      <w:r>
        <w:rPr>
          <w:rFonts w:hint="eastAsia" w:ascii="Calibri" w:hAnsi="Calibri"/>
          <w:b/>
          <w:sz w:val="24"/>
          <w:szCs w:val="24"/>
        </w:rPr>
        <w:t>注：</w:t>
      </w:r>
      <w:r>
        <w:rPr>
          <w:rFonts w:hint="eastAsia" w:ascii="Calibri" w:hAnsi="Calibri"/>
          <w:sz w:val="24"/>
          <w:szCs w:val="24"/>
        </w:rPr>
        <w:t>★</w:t>
      </w:r>
      <w:r>
        <w:rPr>
          <w:rFonts w:hint="eastAsia" w:ascii="Calibri" w:hAnsi="Calibri"/>
          <w:b/>
          <w:sz w:val="24"/>
          <w:szCs w:val="24"/>
        </w:rPr>
        <w:t>安装包括原旧门拆除等。</w:t>
      </w:r>
    </w:p>
    <w:p>
      <w:pPr>
        <w:widowControl/>
        <w:jc w:val="center"/>
        <w:rPr>
          <w:rFonts w:ascii="宋体" w:hAnsi="Calibri" w:cs="宋体"/>
          <w:kern w:val="0"/>
          <w:sz w:val="24"/>
          <w:szCs w:val="24"/>
        </w:rPr>
      </w:pPr>
      <w:r>
        <w:rPr>
          <w:rFonts w:ascii="宋体" w:hAnsi="Calibri" w:cs="宋体"/>
          <w:kern w:val="0"/>
          <w:sz w:val="24"/>
          <w:szCs w:val="24"/>
        </w:rPr>
        <w:drawing>
          <wp:inline distT="0" distB="0" distL="114300" distR="114300">
            <wp:extent cx="5457825" cy="42672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457825" cy="4267200"/>
                    </a:xfrm>
                    <a:prstGeom prst="rect">
                      <a:avLst/>
                    </a:prstGeom>
                    <a:noFill/>
                    <a:ln>
                      <a:noFill/>
                    </a:ln>
                  </pic:spPr>
                </pic:pic>
              </a:graphicData>
            </a:graphic>
          </wp:inline>
        </w:drawing>
      </w:r>
    </w:p>
    <w:p>
      <w:pPr>
        <w:widowControl/>
        <w:jc w:val="center"/>
        <w:rPr>
          <w:rFonts w:ascii="宋体" w:hAnsi="Calibri" w:cs="宋体"/>
          <w:kern w:val="0"/>
          <w:sz w:val="24"/>
          <w:szCs w:val="24"/>
        </w:rPr>
      </w:pPr>
      <w:r>
        <w:rPr>
          <w:rFonts w:hint="eastAsia" w:ascii="Calibri" w:hAnsi="Calibri"/>
          <w:sz w:val="24"/>
          <w:szCs w:val="24"/>
        </w:rPr>
        <w:t>套装免漆复合实木门</w:t>
      </w:r>
      <w:r>
        <w:rPr>
          <w:rFonts w:hint="eastAsia" w:ascii="宋体" w:hAnsi="Calibri" w:cs="宋体"/>
          <w:kern w:val="0"/>
          <w:sz w:val="24"/>
          <w:szCs w:val="24"/>
        </w:rPr>
        <w:t>安装走线参考图</w:t>
      </w:r>
    </w:p>
    <w:p>
      <w:pPr>
        <w:spacing w:line="300" w:lineRule="auto"/>
        <w:ind w:firstLine="480" w:firstLineChars="200"/>
        <w:rPr>
          <w:color w:val="000000"/>
          <w:sz w:val="24"/>
          <w:szCs w:val="24"/>
        </w:rPr>
      </w:pPr>
      <w:r>
        <w:rPr>
          <w:rFonts w:hint="eastAsia"/>
          <w:color w:val="000000"/>
          <w:sz w:val="24"/>
        </w:rPr>
        <w:t>三</w:t>
      </w:r>
      <w:r>
        <w:rPr>
          <w:rFonts w:hint="eastAsia"/>
          <w:color w:val="000000"/>
          <w:sz w:val="24"/>
          <w:szCs w:val="24"/>
        </w:rPr>
        <w:t>、商务要求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rFonts w:hint="eastAsia"/>
          <w:color w:val="000000"/>
          <w:sz w:val="24"/>
        </w:rPr>
        <w:t>一个月</w:t>
      </w:r>
      <w:r>
        <w:rPr>
          <w:rFonts w:hint="eastAsia"/>
          <w:color w:val="000000"/>
          <w:sz w:val="24"/>
          <w:lang w:val="zh-CN"/>
        </w:rPr>
        <w:t>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t xml:space="preserve"> </w:t>
      </w:r>
      <w:r>
        <w:rPr>
          <w:rFonts w:hint="eastAsia"/>
          <w:color w:val="000000"/>
          <w:sz w:val="24"/>
          <w:lang w:val="zh-CN"/>
        </w:rPr>
        <w:t>淮安市枚乘东路</w:t>
      </w:r>
      <w:r>
        <w:rPr>
          <w:color w:val="000000"/>
          <w:sz w:val="24"/>
          <w:lang w:val="zh-CN"/>
        </w:rPr>
        <w:t>1</w:t>
      </w:r>
      <w:r>
        <w:rPr>
          <w:rFonts w:hint="eastAsia"/>
          <w:color w:val="000000"/>
          <w:sz w:val="24"/>
          <w:lang w:val="zh-CN"/>
        </w:rPr>
        <w:t>号，淮阴工学院知行楼</w:t>
      </w:r>
      <w:r>
        <w:rPr>
          <w:color w:val="000000"/>
          <w:sz w:val="24"/>
          <w:lang w:val="zh-CN"/>
        </w:rPr>
        <w:t>11</w:t>
      </w:r>
      <w:r>
        <w:rPr>
          <w:rFonts w:hint="eastAsia"/>
          <w:color w:val="000000"/>
          <w:sz w:val="24"/>
          <w:lang w:val="zh-CN"/>
        </w:rPr>
        <w:t>号楼</w:t>
      </w:r>
      <w:r>
        <w:rPr>
          <w:color w:val="000000"/>
          <w:sz w:val="24"/>
          <w:lang w:val="zh-CN"/>
        </w:rPr>
        <w:t>1-5</w:t>
      </w:r>
      <w:r>
        <w:rPr>
          <w:rFonts w:hint="eastAsia"/>
          <w:color w:val="000000"/>
          <w:sz w:val="24"/>
          <w:lang w:val="zh-CN"/>
        </w:rPr>
        <w:t>层</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60" w:lineRule="auto"/>
        <w:ind w:firstLine="480" w:firstLineChars="200"/>
        <w:rPr>
          <w:color w:val="000000"/>
          <w:sz w:val="24"/>
          <w:szCs w:val="22"/>
        </w:rPr>
      </w:pPr>
      <w:r>
        <w:rPr>
          <w:color w:val="000000"/>
          <w:sz w:val="24"/>
          <w:szCs w:val="22"/>
        </w:rPr>
        <w:t>4.</w:t>
      </w:r>
      <w:r>
        <w:rPr>
          <w:rFonts w:hint="eastAsia"/>
          <w:color w:val="000000"/>
          <w:sz w:val="24"/>
          <w:szCs w:val="22"/>
        </w:rPr>
        <w:t>质保期不少于两年。</w:t>
      </w:r>
    </w:p>
    <w:p>
      <w:pPr>
        <w:spacing w:line="360" w:lineRule="auto"/>
        <w:ind w:firstLine="480" w:firstLineChars="200"/>
        <w:rPr>
          <w:sz w:val="24"/>
          <w:szCs w:val="24"/>
        </w:rPr>
      </w:pPr>
      <w:r>
        <w:rPr>
          <w:rFonts w:hint="eastAsia"/>
          <w:sz w:val="24"/>
          <w:szCs w:val="24"/>
        </w:rPr>
        <w:t>四、其他</w:t>
      </w:r>
    </w:p>
    <w:p>
      <w:pPr>
        <w:spacing w:line="360" w:lineRule="auto"/>
        <w:ind w:firstLine="480" w:firstLineChars="200"/>
        <w:rPr>
          <w:sz w:val="24"/>
          <w:szCs w:val="22"/>
          <w:lang w:val="zh-CN"/>
        </w:rPr>
      </w:pPr>
      <w:r>
        <w:rPr>
          <w:sz w:val="24"/>
          <w:szCs w:val="22"/>
        </w:rPr>
        <w:t>1.</w:t>
      </w:r>
      <w:r>
        <w:rPr>
          <w:rFonts w:hint="eastAsia"/>
          <w:sz w:val="24"/>
          <w:szCs w:val="22"/>
          <w:lang w:val="zh-CN"/>
        </w:rPr>
        <w:t>产品要有出厂合格证，要符合国家标准的有关要求，产品具有权威部门出具的检测检验报告，所提供的产品及安装保证通过竣工验收。</w:t>
      </w:r>
    </w:p>
    <w:p>
      <w:pPr>
        <w:spacing w:line="360" w:lineRule="auto"/>
        <w:ind w:firstLine="480" w:firstLineChars="200"/>
        <w:rPr>
          <w:sz w:val="24"/>
          <w:szCs w:val="22"/>
          <w:lang w:val="zh-CN"/>
        </w:rPr>
      </w:pPr>
      <w:r>
        <w:rPr>
          <w:sz w:val="24"/>
          <w:szCs w:val="22"/>
        </w:rPr>
        <w:t>2.</w:t>
      </w:r>
      <w:r>
        <w:rPr>
          <w:rFonts w:hint="eastAsia"/>
          <w:sz w:val="24"/>
          <w:szCs w:val="22"/>
          <w:lang w:val="zh-CN"/>
        </w:rPr>
        <w:t>如招标人对产品的质量有疑议，可委托国家有资质的技术质量检测机构检测试验，如检验合格，检验费用由招标人支付，如不合格，费用由投标人支付，并承担相应的违约责任，并承担由此给招标人造成的一切直接及间接损失；</w:t>
      </w:r>
    </w:p>
    <w:p>
      <w:pPr>
        <w:spacing w:line="360" w:lineRule="auto"/>
        <w:ind w:firstLine="480" w:firstLineChars="200"/>
        <w:rPr>
          <w:sz w:val="24"/>
          <w:szCs w:val="22"/>
          <w:lang w:val="zh-CN"/>
        </w:rPr>
      </w:pPr>
      <w:r>
        <w:rPr>
          <w:sz w:val="24"/>
          <w:szCs w:val="22"/>
        </w:rPr>
        <w:t>3.</w:t>
      </w:r>
      <w:r>
        <w:rPr>
          <w:rFonts w:hint="eastAsia"/>
          <w:sz w:val="24"/>
          <w:szCs w:val="22"/>
          <w:lang w:val="zh-CN"/>
        </w:rPr>
        <w:t>因履约过程中市场行情变化而导致产品价格波动，以及其他因投标人原因造成的价格波动时，合同价格均不予调整。</w:t>
      </w:r>
    </w:p>
    <w:p>
      <w:pPr>
        <w:pStyle w:val="2"/>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after="0" w:line="400" w:lineRule="exact"/>
        <w:ind w:firstLine="480"/>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spacing w:after="0" w:line="400" w:lineRule="exact"/>
        <w:ind w:firstLine="480"/>
        <w:rPr>
          <w:rFonts w:ascii="宋体" w:cs="宋体"/>
          <w:b/>
          <w:sz w:val="24"/>
          <w:szCs w:val="24"/>
        </w:rPr>
      </w:pPr>
      <w:r>
        <w:rPr>
          <w:rFonts w:hint="eastAsia" w:ascii="宋体" w:hAnsi="宋体" w:cs="宋体"/>
          <w:b/>
          <w:sz w:val="24"/>
          <w:szCs w:val="24"/>
        </w:rPr>
        <w:t>一、</w:t>
      </w:r>
      <w:r>
        <w:rPr>
          <w:rFonts w:ascii="宋体" w:hAnsi="宋体" w:cs="宋体"/>
          <w:b/>
          <w:sz w:val="24"/>
          <w:szCs w:val="24"/>
        </w:rPr>
        <w:t xml:space="preserve"> </w:t>
      </w:r>
      <w:r>
        <w:rPr>
          <w:rFonts w:hint="eastAsia" w:ascii="宋体" w:hAnsi="宋体" w:cs="宋体"/>
          <w:b/>
          <w:sz w:val="24"/>
          <w:szCs w:val="24"/>
        </w:rPr>
        <w:t>采购内容</w:t>
      </w:r>
    </w:p>
    <w:p>
      <w:pPr>
        <w:spacing w:after="0"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tabs>
          <w:tab w:val="left" w:pos="945"/>
          <w:tab w:val="left" w:pos="1050"/>
          <w:tab w:val="left" w:pos="1155"/>
        </w:tabs>
        <w:adjustRightInd w:val="0"/>
        <w:spacing w:after="0" w:line="360" w:lineRule="auto"/>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after="0" w:line="360" w:lineRule="auto"/>
        <w:ind w:firstLine="510"/>
        <w:rPr>
          <w:rFonts w:ascii="宋体" w:cs="宋体"/>
          <w:b/>
          <w:sz w:val="24"/>
          <w:szCs w:val="24"/>
        </w:rPr>
      </w:pPr>
      <w:r>
        <w:rPr>
          <w:rFonts w:hint="eastAsia" w:ascii="宋体" w:hAnsi="宋体" w:cs="宋体"/>
          <w:sz w:val="24"/>
          <w:szCs w:val="24"/>
        </w:rPr>
        <w:t>乙方须在合同签订后一个月内免费将本合同订购之设备送至甲方指定地点，并负责安装完毕。</w:t>
      </w:r>
    </w:p>
    <w:p>
      <w:pPr>
        <w:tabs>
          <w:tab w:val="left" w:pos="900"/>
          <w:tab w:val="left" w:pos="945"/>
        </w:tabs>
        <w:adjustRightInd w:val="0"/>
        <w:spacing w:after="0" w:line="360" w:lineRule="auto"/>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after="0" w:line="360" w:lineRule="auto"/>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after="0" w:line="360" w:lineRule="auto"/>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after="0" w:line="360" w:lineRule="auto"/>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after="0" w:line="360" w:lineRule="auto"/>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）甲方所购设备保修期为两年，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after="0" w:line="360" w:lineRule="auto"/>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after="0"/>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after="0"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after="0" w:line="360" w:lineRule="auto"/>
        <w:ind w:firstLine="480" w:firstLineChars="200"/>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after="0"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after="0" w:line="360" w:lineRule="auto"/>
        <w:ind w:firstLine="480" w:firstLineChars="200"/>
        <w:rPr>
          <w:rFonts w:ascii="宋体" w:cs="宋体"/>
          <w:b/>
          <w:sz w:val="24"/>
          <w:szCs w:val="24"/>
        </w:rPr>
      </w:pPr>
      <w:r>
        <w:rPr>
          <w:rFonts w:hint="eastAsia" w:ascii="宋体" w:hAnsi="宋体" w:cs="宋体"/>
          <w:b/>
          <w:sz w:val="24"/>
          <w:szCs w:val="24"/>
        </w:rPr>
        <w:t>四、验收标准</w:t>
      </w:r>
    </w:p>
    <w:p>
      <w:pPr>
        <w:spacing w:after="0" w:line="360" w:lineRule="auto"/>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after="0" w:line="360" w:lineRule="auto"/>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after="0" w:line="360" w:lineRule="auto"/>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after="0" w:line="360" w:lineRule="auto"/>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900"/>
          <w:tab w:val="left" w:pos="945"/>
        </w:tabs>
        <w:adjustRightInd w:val="0"/>
        <w:spacing w:after="0" w:line="360" w:lineRule="auto"/>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after="0" w:line="360" w:lineRule="auto"/>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after="0" w:line="360" w:lineRule="auto"/>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after="0" w:line="360" w:lineRule="auto"/>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after="0" w:line="360" w:lineRule="auto"/>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numPr>
          <w:ilvl w:val="0"/>
          <w:numId w:val="4"/>
        </w:numPr>
        <w:spacing w:after="0" w:line="360" w:lineRule="auto"/>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投标文件样式</w:t>
      </w:r>
    </w:p>
    <w:p>
      <w:pPr>
        <w:spacing w:after="0" w:line="240" w:lineRule="auto"/>
        <w:jc w:val="center"/>
        <w:rPr>
          <w:rFonts w:ascii="方正小标宋简体" w:eastAsia="方正小标宋简体"/>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spacing w:after="0" w:line="360" w:lineRule="auto"/>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after="0" w:line="460" w:lineRule="exact"/>
        <w:rPr>
          <w:color w:val="000000"/>
          <w:sz w:val="24"/>
        </w:rPr>
      </w:pPr>
      <w:r>
        <w:rPr>
          <w:rFonts w:hint="eastAsia"/>
          <w:color w:val="000000"/>
          <w:sz w:val="24"/>
        </w:rPr>
        <w:t>淮阴工学院招投标办公室：</w:t>
      </w:r>
    </w:p>
    <w:p>
      <w:pPr>
        <w:spacing w:after="0" w:line="460" w:lineRule="exact"/>
        <w:ind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after="0"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after="0" w:line="460" w:lineRule="exact"/>
        <w:ind w:firstLine="480" w:firstLineChars="200"/>
        <w:rPr>
          <w:rFonts w:hint="eastAsia"/>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after="0"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，完全响应第二章采购要求放</w:t>
      </w:r>
      <w:r>
        <w:rPr>
          <w:rFonts w:hint="eastAsia"/>
          <w:bCs/>
          <w:color w:val="000000"/>
          <w:sz w:val="24"/>
        </w:rPr>
        <w:t>弃对招标文件提出质疑的权利。</w:t>
      </w:r>
    </w:p>
    <w:p>
      <w:pPr>
        <w:spacing w:after="0"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after="0"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after="0"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after="0"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after="0"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after="0"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after="0"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after="0"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after="0" w:line="460" w:lineRule="exact"/>
        <w:ind w:firstLine="480" w:firstLineChars="200"/>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after="0" w:line="460" w:lineRule="exact"/>
        <w:ind w:firstLine="480" w:firstLineChars="200"/>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after="0"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bookmarkEnd w:id="0"/>
    <w:bookmarkEnd w:id="1"/>
    <w:p>
      <w:pPr>
        <w:snapToGrid w:val="0"/>
        <w:spacing w:after="0" w:line="360" w:lineRule="auto"/>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w:t>
      </w:r>
      <w:r>
        <w:rPr>
          <w:rFonts w:hint="eastAsia"/>
          <w:color w:val="000000"/>
          <w:sz w:val="24"/>
          <w:szCs w:val="24"/>
          <w:lang w:val="en-US" w:eastAsia="zh-CN"/>
        </w:rPr>
        <w:t>章</w:t>
      </w:r>
      <w:r>
        <w:rPr>
          <w:rFonts w:hint="eastAsia"/>
          <w:color w:val="000000"/>
          <w:sz w:val="24"/>
          <w:szCs w:val="24"/>
        </w:rPr>
        <w:t>）：</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hAnsi="Times New Roman" w:eastAsia="方正小标宋简体"/>
          <w:color w:val="000000"/>
          <w:sz w:val="32"/>
          <w:szCs w:val="32"/>
        </w:rPr>
        <w:br w:type="page"/>
      </w:r>
      <w:r>
        <w:rPr>
          <w:rFonts w:hint="eastAsia" w:ascii="方正小标宋简体" w:eastAsia="方正小标宋简体"/>
          <w:sz w:val="32"/>
          <w:szCs w:val="32"/>
          <w:lang w:val="en-US" w:eastAsia="zh-CN"/>
        </w:rPr>
        <w:t>六</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autoSpaceDE w:val="0"/>
        <w:autoSpaceDN w:val="0"/>
        <w:adjustRightInd w:val="0"/>
        <w:spacing w:line="720" w:lineRule="exact"/>
        <w:jc w:val="center"/>
        <w:rPr>
          <w:rFonts w:ascii="宋体" w:cs="楷体_GB2312"/>
          <w:sz w:val="28"/>
          <w:szCs w:val="28"/>
          <w:lang w:val="zh-CN"/>
        </w:rPr>
      </w:pPr>
    </w:p>
    <w:p>
      <w:pPr>
        <w:ind w:firstLine="555"/>
        <w:rPr>
          <w:rFonts w:ascii="宋体"/>
          <w:sz w:val="28"/>
          <w:szCs w:val="28"/>
        </w:rPr>
      </w:pPr>
    </w:p>
    <w:p>
      <w:pPr>
        <w:jc w:val="center"/>
        <w:rPr>
          <w:rFonts w:ascii="方正小标宋简体" w:eastAsia="方正小标宋简体"/>
          <w:color w:val="000000"/>
          <w:sz w:val="32"/>
          <w:szCs w:val="32"/>
        </w:rPr>
      </w:pPr>
      <w:r>
        <w:rPr>
          <w:rFonts w:ascii="宋体"/>
          <w:sz w:val="28"/>
          <w:szCs w:val="28"/>
        </w:rPr>
        <w:br w:type="page"/>
      </w:r>
      <w:r>
        <w:rPr>
          <w:rFonts w:hint="eastAsia" w:ascii="方正小标宋简体" w:eastAsia="方正小标宋简体"/>
          <w:color w:val="000000"/>
          <w:sz w:val="32"/>
          <w:szCs w:val="32"/>
          <w:lang w:val="en-US" w:eastAsia="zh-CN"/>
        </w:rPr>
        <w:t>七</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eastAsia="方正小标宋简体"/>
          <w:bCs/>
          <w:sz w:val="32"/>
          <w:szCs w:val="32"/>
        </w:rPr>
      </w:pPr>
      <w:r>
        <w:rPr>
          <w:rFonts w:ascii="方正小标宋简体" w:hAnsi="仿宋" w:eastAsia="方正小标宋简体"/>
          <w:sz w:val="32"/>
          <w:szCs w:val="32"/>
        </w:rPr>
        <w:br w:type="page"/>
      </w:r>
      <w:r>
        <w:rPr>
          <w:rFonts w:hint="eastAsia" w:eastAsia="方正小标宋简体"/>
          <w:sz w:val="32"/>
          <w:szCs w:val="32"/>
          <w:lang w:val="en-US" w:eastAsia="zh-CN"/>
        </w:rPr>
        <w:t>八</w:t>
      </w:r>
      <w:r>
        <w:rPr>
          <w:rFonts w:eastAsia="方正小标宋简体"/>
          <w:sz w:val="32"/>
          <w:szCs w:val="32"/>
        </w:rPr>
        <w:t xml:space="preserve">  </w:t>
      </w:r>
      <w:r>
        <w:rPr>
          <w:rFonts w:hint="eastAsia" w:eastAsia="方正小标宋简体"/>
          <w:bCs/>
          <w:sz w:val="32"/>
          <w:szCs w:val="32"/>
        </w:rPr>
        <w:t>履约保证金退还申请单</w:t>
      </w:r>
    </w:p>
    <w:p>
      <w:pPr>
        <w:pStyle w:val="3"/>
        <w:spacing w:after="0" w:line="400" w:lineRule="exact"/>
        <w:ind w:firstLine="0"/>
        <w:rPr>
          <w:bCs/>
          <w:sz w:val="24"/>
          <w:szCs w:val="24"/>
        </w:rPr>
      </w:pPr>
      <w:r>
        <w:rPr>
          <w:rFonts w:hint="eastAsia"/>
          <w:bCs/>
          <w:sz w:val="24"/>
          <w:szCs w:val="24"/>
        </w:rPr>
        <w:t>致淮阴工学院</w:t>
      </w:r>
      <w:r>
        <w:rPr>
          <w:bCs/>
          <w:sz w:val="24"/>
          <w:szCs w:val="24"/>
        </w:rPr>
        <w:t>:</w:t>
      </w:r>
    </w:p>
    <w:p>
      <w:pPr>
        <w:pStyle w:val="3"/>
        <w:spacing w:after="0" w:line="400" w:lineRule="exact"/>
        <w:ind w:firstLine="453" w:firstLineChars="189"/>
        <w:jc w:val="left"/>
        <w:rPr>
          <w:sz w:val="24"/>
          <w:szCs w:val="24"/>
        </w:rPr>
      </w:pPr>
      <w:r>
        <w:rPr>
          <w:rFonts w:hint="eastAsia"/>
          <w:sz w:val="24"/>
          <w:szCs w:val="24"/>
        </w:rPr>
        <w:t>我单位中标了贵校组织实施的（项目名称及项目编号）的采购活动。目前，我单位已按招标文件规定及投标文件承诺履行完相关义务，项目已经通过贵校验收，符合保证金退还的条件，现向贵校申请退还我单位交纳的本项目履约保证金元。</w:t>
      </w:r>
    </w:p>
    <w:p>
      <w:pPr>
        <w:spacing w:after="0" w:line="40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手机：办公电话：</w:t>
            </w:r>
          </w:p>
        </w:tc>
      </w:tr>
    </w:tbl>
    <w:p>
      <w:pPr>
        <w:spacing w:after="0"/>
        <w:rPr>
          <w:szCs w:val="21"/>
        </w:rPr>
      </w:pPr>
      <w:r>
        <w:rPr>
          <w:rFonts w:hint="eastAsia"/>
          <w:szCs w:val="21"/>
        </w:rPr>
        <w:t>备注：本项材料不装订在招标文件中，须附履约保证金收据。在通过验收后，想项目使用单位提出申请办理。</w:t>
      </w:r>
    </w:p>
    <w:p>
      <w:pPr>
        <w:spacing w:after="0" w:line="480" w:lineRule="exact"/>
        <w:rPr>
          <w:color w:val="000000"/>
          <w:sz w:val="24"/>
          <w:szCs w:val="24"/>
        </w:rPr>
      </w:pPr>
      <w:r>
        <w:rPr>
          <w:rFonts w:hint="eastAsia"/>
          <w:color w:val="000000"/>
          <w:sz w:val="24"/>
          <w:szCs w:val="24"/>
        </w:rPr>
        <w:t>投标人名称：（名称</w:t>
      </w:r>
      <w:r>
        <w:rPr>
          <w:color w:val="000000"/>
          <w:sz w:val="24"/>
          <w:szCs w:val="24"/>
        </w:rPr>
        <w:t>+</w:t>
      </w:r>
      <w:r>
        <w:rPr>
          <w:rFonts w:hint="eastAsia"/>
          <w:color w:val="000000"/>
          <w:sz w:val="24"/>
          <w:szCs w:val="24"/>
        </w:rPr>
        <w:t>公章）</w:t>
      </w:r>
    </w:p>
    <w:p>
      <w:pPr>
        <w:spacing w:after="0" w:line="520" w:lineRule="exact"/>
        <w:rPr>
          <w:color w:val="000000"/>
          <w:kern w:val="0"/>
          <w:sz w:val="24"/>
          <w:szCs w:val="24"/>
        </w:rPr>
      </w:pPr>
      <w:r>
        <w:rPr>
          <w:rFonts w:hint="eastAsia"/>
          <w:color w:val="000000"/>
          <w:sz w:val="24"/>
          <w:szCs w:val="24"/>
        </w:rPr>
        <w:t>授权委托人</w:t>
      </w:r>
      <w:r>
        <w:rPr>
          <w:rFonts w:hint="eastAsia"/>
          <w:color w:val="000000"/>
          <w:kern w:val="0"/>
          <w:sz w:val="24"/>
          <w:szCs w:val="24"/>
        </w:rPr>
        <w:t>（签名或签章）：</w:t>
      </w:r>
    </w:p>
    <w:p>
      <w:pPr>
        <w:spacing w:after="0" w:line="52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eastAsia="方正小标宋简体"/>
          <w:color w:val="000000"/>
          <w:sz w:val="30"/>
          <w:szCs w:val="30"/>
        </w:rPr>
      </w:pPr>
      <w:r>
        <w:rPr>
          <w:rFonts w:hint="eastAsia"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999" w:type="dxa"/>
            <w:vAlign w:val="center"/>
          </w:tcPr>
          <w:p>
            <w:pPr>
              <w:spacing w:after="0" w:line="240" w:lineRule="auto"/>
              <w:ind w:left="315" w:hanging="315" w:hangingChars="150"/>
              <w:jc w:val="center"/>
              <w:rPr>
                <w:color w:val="000000"/>
                <w:szCs w:val="21"/>
              </w:rPr>
            </w:pPr>
            <w:r>
              <w:rPr>
                <w:rFonts w:hint="eastAsia"/>
                <w:color w:val="000000"/>
                <w:szCs w:val="21"/>
              </w:rPr>
              <w:t>项目使用单位</w:t>
            </w:r>
          </w:p>
          <w:p>
            <w:pPr>
              <w:spacing w:after="0" w:line="240" w:lineRule="auto"/>
              <w:ind w:left="315" w:hanging="315" w:hangingChars="150"/>
              <w:jc w:val="center"/>
              <w:rPr>
                <w:color w:val="000000"/>
                <w:szCs w:val="21"/>
              </w:rPr>
            </w:pPr>
            <w:r>
              <w:rPr>
                <w:rFonts w:hint="eastAsia"/>
                <w:color w:val="000000"/>
                <w:szCs w:val="21"/>
              </w:rPr>
              <w:t>经办人意见</w:t>
            </w:r>
          </w:p>
        </w:tc>
        <w:tc>
          <w:tcPr>
            <w:tcW w:w="6526" w:type="dxa"/>
            <w:vAlign w:val="center"/>
          </w:tcPr>
          <w:p>
            <w:pPr>
              <w:spacing w:after="0" w:line="240" w:lineRule="auto"/>
              <w:rPr>
                <w:color w:val="000000"/>
                <w:szCs w:val="21"/>
              </w:rPr>
            </w:pPr>
            <w:r>
              <w:rPr>
                <w:rFonts w:hint="eastAsia"/>
                <w:color w:val="000000"/>
                <w:szCs w:val="21"/>
              </w:rPr>
              <w:t>（是否通过验收）</w:t>
            </w:r>
          </w:p>
          <w:p>
            <w:pPr>
              <w:spacing w:after="0" w:line="240" w:lineRule="auto"/>
              <w:jc w:val="right"/>
              <w:rPr>
                <w:color w:val="000000"/>
                <w:szCs w:val="21"/>
              </w:rPr>
            </w:pP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1999" w:type="dxa"/>
            <w:vAlign w:val="center"/>
          </w:tcPr>
          <w:p>
            <w:pPr>
              <w:spacing w:after="0" w:line="240" w:lineRule="auto"/>
              <w:jc w:val="center"/>
              <w:rPr>
                <w:color w:val="000000"/>
                <w:szCs w:val="21"/>
              </w:rPr>
            </w:pPr>
            <w:r>
              <w:rPr>
                <w:rFonts w:hint="eastAsia"/>
                <w:color w:val="000000"/>
                <w:szCs w:val="21"/>
              </w:rPr>
              <w:t>项目使用单位</w:t>
            </w:r>
          </w:p>
          <w:p>
            <w:pPr>
              <w:spacing w:after="0" w:line="240" w:lineRule="auto"/>
              <w:jc w:val="center"/>
              <w:rPr>
                <w:color w:val="000000"/>
                <w:szCs w:val="21"/>
              </w:rPr>
            </w:pPr>
            <w:r>
              <w:rPr>
                <w:rFonts w:hint="eastAsia"/>
                <w:color w:val="000000"/>
                <w:szCs w:val="21"/>
              </w:rPr>
              <w:t>分管负责人意见</w:t>
            </w:r>
          </w:p>
        </w:tc>
        <w:tc>
          <w:tcPr>
            <w:tcW w:w="6526" w:type="dxa"/>
            <w:vAlign w:val="center"/>
          </w:tcPr>
          <w:p>
            <w:pPr>
              <w:spacing w:after="0" w:line="240" w:lineRule="auto"/>
              <w:rPr>
                <w:color w:val="000000"/>
                <w:szCs w:val="21"/>
              </w:rPr>
            </w:pPr>
          </w:p>
          <w:p>
            <w:pPr>
              <w:spacing w:after="0" w:line="240" w:lineRule="auto"/>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999" w:type="dxa"/>
            <w:vAlign w:val="center"/>
          </w:tcPr>
          <w:p>
            <w:pPr>
              <w:spacing w:after="0" w:line="240" w:lineRule="auto"/>
              <w:jc w:val="center"/>
              <w:rPr>
                <w:color w:val="000000"/>
                <w:szCs w:val="21"/>
              </w:rPr>
            </w:pPr>
            <w:r>
              <w:rPr>
                <w:rFonts w:hint="eastAsia"/>
                <w:color w:val="000000"/>
                <w:szCs w:val="21"/>
              </w:rPr>
              <w:t>项目主管部门</w:t>
            </w:r>
          </w:p>
          <w:p>
            <w:pPr>
              <w:spacing w:after="0" w:line="240" w:lineRule="auto"/>
              <w:jc w:val="center"/>
              <w:rPr>
                <w:color w:val="000000"/>
                <w:szCs w:val="21"/>
              </w:rPr>
            </w:pPr>
            <w:r>
              <w:rPr>
                <w:rFonts w:hint="eastAsia"/>
                <w:color w:val="000000"/>
                <w:szCs w:val="21"/>
              </w:rPr>
              <w:t>意见</w:t>
            </w:r>
          </w:p>
        </w:tc>
        <w:tc>
          <w:tcPr>
            <w:tcW w:w="6526" w:type="dxa"/>
            <w:vAlign w:val="center"/>
          </w:tcPr>
          <w:p>
            <w:pPr>
              <w:spacing w:after="0" w:line="240" w:lineRule="auto"/>
              <w:rPr>
                <w:color w:val="000000"/>
                <w:szCs w:val="21"/>
              </w:rPr>
            </w:pPr>
          </w:p>
          <w:p>
            <w:pPr>
              <w:spacing w:after="0" w:line="240" w:lineRule="auto"/>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sectPr>
      <w:headerReference r:id="rId5" w:type="first"/>
      <w:footerReference r:id="rId8" w:type="first"/>
      <w:headerReference r:id="rId3" w:type="default"/>
      <w:footerReference r:id="rId6" w:type="default"/>
      <w:headerReference r:id="rId4" w:type="even"/>
      <w:footerReference r:id="rId7"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26</w:t>
    </w:r>
    <w:r>
      <w:rPr>
        <w:lang w:val="zh-CN"/>
      </w:rP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EF418"/>
    <w:multiLevelType w:val="singleLevel"/>
    <w:tmpl w:val="8B1EF418"/>
    <w:lvl w:ilvl="0" w:tentative="0">
      <w:start w:val="4"/>
      <w:numFmt w:val="chineseCounting"/>
      <w:suff w:val="space"/>
      <w:lvlText w:val="第%1章"/>
      <w:lvlJc w:val="left"/>
      <w:rPr>
        <w:rFonts w:hint="eastAsia" w:cs="Times New Roman"/>
      </w:r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650A7C24"/>
    <w:multiLevelType w:val="singleLevel"/>
    <w:tmpl w:val="650A7C24"/>
    <w:lvl w:ilvl="0" w:tentative="0">
      <w:start w:val="1"/>
      <w:numFmt w:val="decimal"/>
      <w:lvlText w:val="%1."/>
      <w:lvlJc w:val="left"/>
      <w:pPr>
        <w:tabs>
          <w:tab w:val="left" w:pos="312"/>
        </w:tabs>
      </w:pPr>
      <w:rPr>
        <w:rFonts w:cs="Times New Roman"/>
      </w:rPr>
    </w:lvl>
  </w:abstractNum>
  <w:abstractNum w:abstractNumId="3">
    <w:nsid w:val="6F990E07"/>
    <w:multiLevelType w:val="multilevel"/>
    <w:tmpl w:val="6F990E07"/>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7610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5ADF"/>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2DB1"/>
    <w:rsid w:val="00154A97"/>
    <w:rsid w:val="00156A0F"/>
    <w:rsid w:val="00170627"/>
    <w:rsid w:val="001706A3"/>
    <w:rsid w:val="001709E5"/>
    <w:rsid w:val="00173393"/>
    <w:rsid w:val="001767F2"/>
    <w:rsid w:val="00176A63"/>
    <w:rsid w:val="00182B40"/>
    <w:rsid w:val="00183749"/>
    <w:rsid w:val="00183B90"/>
    <w:rsid w:val="00184BC8"/>
    <w:rsid w:val="0018524D"/>
    <w:rsid w:val="001857E7"/>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6B29"/>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176E"/>
    <w:rsid w:val="00342244"/>
    <w:rsid w:val="00345290"/>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E46D1"/>
    <w:rsid w:val="003E73B4"/>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5F6C2C"/>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476"/>
    <w:rsid w:val="00935624"/>
    <w:rsid w:val="00935712"/>
    <w:rsid w:val="00936311"/>
    <w:rsid w:val="0094179F"/>
    <w:rsid w:val="009439B7"/>
    <w:rsid w:val="00944DF7"/>
    <w:rsid w:val="0094748B"/>
    <w:rsid w:val="00955531"/>
    <w:rsid w:val="009613BA"/>
    <w:rsid w:val="00961B94"/>
    <w:rsid w:val="00962D9D"/>
    <w:rsid w:val="00963396"/>
    <w:rsid w:val="009719C9"/>
    <w:rsid w:val="009731D6"/>
    <w:rsid w:val="00975873"/>
    <w:rsid w:val="0097691B"/>
    <w:rsid w:val="0098031B"/>
    <w:rsid w:val="0098122D"/>
    <w:rsid w:val="00982220"/>
    <w:rsid w:val="009837AD"/>
    <w:rsid w:val="00984CD9"/>
    <w:rsid w:val="009850C6"/>
    <w:rsid w:val="009870D3"/>
    <w:rsid w:val="00990178"/>
    <w:rsid w:val="0099305A"/>
    <w:rsid w:val="009A270B"/>
    <w:rsid w:val="009A47D0"/>
    <w:rsid w:val="009A6E3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3A6"/>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835A6"/>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78B"/>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3208"/>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7C2"/>
    <w:rsid w:val="00F86FBD"/>
    <w:rsid w:val="00F873C4"/>
    <w:rsid w:val="00F90F75"/>
    <w:rsid w:val="00F92CAC"/>
    <w:rsid w:val="00F942E5"/>
    <w:rsid w:val="00F97D7C"/>
    <w:rsid w:val="00F97F9E"/>
    <w:rsid w:val="00FA0425"/>
    <w:rsid w:val="00FA384F"/>
    <w:rsid w:val="00FA40C1"/>
    <w:rsid w:val="00FB195C"/>
    <w:rsid w:val="00FB3AB4"/>
    <w:rsid w:val="00FC2025"/>
    <w:rsid w:val="00FC419B"/>
    <w:rsid w:val="00FC5562"/>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E601EEA"/>
    <w:rsid w:val="0FE01D48"/>
    <w:rsid w:val="12D7558D"/>
    <w:rsid w:val="13883A9B"/>
    <w:rsid w:val="1B0903FC"/>
    <w:rsid w:val="21B86ACA"/>
    <w:rsid w:val="230E65BB"/>
    <w:rsid w:val="294C203A"/>
    <w:rsid w:val="2C2839A1"/>
    <w:rsid w:val="2DCA4427"/>
    <w:rsid w:val="302D2F5A"/>
    <w:rsid w:val="328C0BF4"/>
    <w:rsid w:val="349347FA"/>
    <w:rsid w:val="34B715BD"/>
    <w:rsid w:val="37A24B72"/>
    <w:rsid w:val="38686C22"/>
    <w:rsid w:val="3BBB7324"/>
    <w:rsid w:val="3CA730F0"/>
    <w:rsid w:val="3EED1FE6"/>
    <w:rsid w:val="476C2F59"/>
    <w:rsid w:val="4B234021"/>
    <w:rsid w:val="4E8A4E70"/>
    <w:rsid w:val="51D86088"/>
    <w:rsid w:val="53134929"/>
    <w:rsid w:val="58FF2CBD"/>
    <w:rsid w:val="60974088"/>
    <w:rsid w:val="60B75004"/>
    <w:rsid w:val="6112219F"/>
    <w:rsid w:val="614D7A91"/>
    <w:rsid w:val="62922CB5"/>
    <w:rsid w:val="637C0067"/>
    <w:rsid w:val="666C2141"/>
    <w:rsid w:val="730E3B0B"/>
    <w:rsid w:val="776658B3"/>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unhideWhenUsed="0" w:uiPriority="99" w:semiHidden="0"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99"/>
    <w:pPr>
      <w:keepNext/>
      <w:keepLines/>
      <w:adjustRightInd w:val="0"/>
      <w:spacing w:before="340" w:after="330" w:line="576" w:lineRule="auto"/>
      <w:jc w:val="center"/>
      <w:outlineLvl w:val="0"/>
    </w:pPr>
    <w:rPr>
      <w:b/>
      <w:bCs/>
      <w:kern w:val="44"/>
      <w:sz w:val="30"/>
      <w:szCs w:val="44"/>
    </w:rPr>
  </w:style>
  <w:style w:type="character" w:default="1" w:styleId="14">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31"/>
    <w:locked/>
    <w:uiPriority w:val="99"/>
    <w:pPr>
      <w:ind w:firstLine="420"/>
    </w:pPr>
  </w:style>
  <w:style w:type="paragraph" w:styleId="4">
    <w:name w:val="annotation text"/>
    <w:basedOn w:val="1"/>
    <w:link w:val="19"/>
    <w:uiPriority w:val="99"/>
    <w:pPr>
      <w:jc w:val="left"/>
    </w:pPr>
  </w:style>
  <w:style w:type="paragraph" w:styleId="5">
    <w:name w:val="Body Text Indent"/>
    <w:basedOn w:val="1"/>
    <w:link w:val="20"/>
    <w:qFormat/>
    <w:locked/>
    <w:uiPriority w:val="99"/>
    <w:pPr>
      <w:tabs>
        <w:tab w:val="left" w:pos="900"/>
      </w:tabs>
      <w:adjustRightInd w:val="0"/>
      <w:spacing w:line="360" w:lineRule="auto"/>
      <w:ind w:firstLine="510"/>
    </w:pPr>
    <w:rPr>
      <w:kern w:val="0"/>
      <w:sz w:val="20"/>
    </w:rPr>
  </w:style>
  <w:style w:type="paragraph" w:styleId="6">
    <w:name w:val="Plain Text"/>
    <w:basedOn w:val="1"/>
    <w:link w:val="27"/>
    <w:uiPriority w:val="99"/>
    <w:rPr>
      <w:rFonts w:ascii="宋体" w:hAnsi="Courier New"/>
      <w:kern w:val="0"/>
    </w:rPr>
  </w:style>
  <w:style w:type="paragraph" w:styleId="7">
    <w:name w:val="Balloon Text"/>
    <w:basedOn w:val="1"/>
    <w:link w:val="22"/>
    <w:semiHidden/>
    <w:qFormat/>
    <w:uiPriority w:val="99"/>
    <w:rPr>
      <w:sz w:val="18"/>
    </w:rPr>
  </w:style>
  <w:style w:type="paragraph" w:styleId="8">
    <w:name w:val="footer"/>
    <w:basedOn w:val="1"/>
    <w:link w:val="23"/>
    <w:qFormat/>
    <w:uiPriority w:val="99"/>
    <w:pPr>
      <w:tabs>
        <w:tab w:val="center" w:pos="4153"/>
        <w:tab w:val="right" w:pos="8306"/>
      </w:tabs>
      <w:snapToGrid w:val="0"/>
      <w:jc w:val="left"/>
    </w:pPr>
    <w:rPr>
      <w:kern w:val="0"/>
      <w:sz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5"/>
    <w:semiHidden/>
    <w:qFormat/>
    <w:uiPriority w:val="99"/>
    <w:rPr>
      <w:b/>
      <w:sz w:val="20"/>
    </w:rPr>
  </w:style>
  <w:style w:type="table" w:styleId="13">
    <w:name w:val="Table Grid"/>
    <w:basedOn w:val="12"/>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locked/>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8">
    <w:name w:val="Heading 1 Char"/>
    <w:basedOn w:val="14"/>
    <w:link w:val="2"/>
    <w:qFormat/>
    <w:uiPriority w:val="9"/>
    <w:rPr>
      <w:b/>
      <w:bCs/>
      <w:kern w:val="44"/>
      <w:sz w:val="44"/>
      <w:szCs w:val="44"/>
    </w:rPr>
  </w:style>
  <w:style w:type="character" w:customStyle="1" w:styleId="19">
    <w:name w:val="Comment Text Char"/>
    <w:basedOn w:val="14"/>
    <w:link w:val="4"/>
    <w:semiHidden/>
    <w:qFormat/>
    <w:locked/>
    <w:uiPriority w:val="99"/>
    <w:rPr>
      <w:rFonts w:eastAsia="宋体"/>
      <w:kern w:val="2"/>
      <w:sz w:val="21"/>
      <w:lang w:val="en-US" w:eastAsia="zh-CN"/>
    </w:rPr>
  </w:style>
  <w:style w:type="character" w:customStyle="1" w:styleId="20">
    <w:name w:val="Body Text Indent Char"/>
    <w:basedOn w:val="14"/>
    <w:link w:val="5"/>
    <w:semiHidden/>
    <w:qFormat/>
    <w:locked/>
    <w:uiPriority w:val="99"/>
    <w:rPr>
      <w:rFonts w:ascii="Times New Roman" w:hAnsi="Times New Roman"/>
      <w:sz w:val="20"/>
    </w:rPr>
  </w:style>
  <w:style w:type="character" w:customStyle="1" w:styleId="21">
    <w:name w:val="Plain Text Char"/>
    <w:basedOn w:val="14"/>
    <w:link w:val="6"/>
    <w:qFormat/>
    <w:locked/>
    <w:uiPriority w:val="99"/>
    <w:rPr>
      <w:rFonts w:ascii="宋体" w:hAnsi="Courier New" w:eastAsia="宋体"/>
      <w:sz w:val="21"/>
    </w:rPr>
  </w:style>
  <w:style w:type="character" w:customStyle="1" w:styleId="22">
    <w:name w:val="Balloon Text Char"/>
    <w:basedOn w:val="14"/>
    <w:link w:val="7"/>
    <w:semiHidden/>
    <w:qFormat/>
    <w:locked/>
    <w:uiPriority w:val="99"/>
    <w:rPr>
      <w:rFonts w:ascii="Times New Roman" w:hAnsi="Times New Roman"/>
      <w:kern w:val="2"/>
      <w:sz w:val="18"/>
    </w:rPr>
  </w:style>
  <w:style w:type="character" w:customStyle="1" w:styleId="23">
    <w:name w:val="Footer Char"/>
    <w:basedOn w:val="14"/>
    <w:link w:val="8"/>
    <w:qFormat/>
    <w:locked/>
    <w:uiPriority w:val="99"/>
    <w:rPr>
      <w:rFonts w:ascii="Times New Roman" w:hAnsi="Times New Roman" w:eastAsia="宋体"/>
      <w:sz w:val="18"/>
    </w:rPr>
  </w:style>
  <w:style w:type="character" w:customStyle="1" w:styleId="24">
    <w:name w:val="Header Char"/>
    <w:basedOn w:val="14"/>
    <w:link w:val="9"/>
    <w:semiHidden/>
    <w:qFormat/>
    <w:locked/>
    <w:uiPriority w:val="99"/>
    <w:rPr>
      <w:rFonts w:ascii="Times New Roman" w:hAnsi="Times New Roman" w:eastAsia="宋体"/>
      <w:sz w:val="18"/>
    </w:rPr>
  </w:style>
  <w:style w:type="character" w:customStyle="1" w:styleId="25">
    <w:name w:val="Comment Subject Char"/>
    <w:basedOn w:val="19"/>
    <w:link w:val="11"/>
    <w:semiHidden/>
    <w:qFormat/>
    <w:locked/>
    <w:uiPriority w:val="99"/>
    <w:rPr>
      <w:rFonts w:ascii="Times New Roman" w:hAnsi="Times New Roman"/>
      <w:b/>
      <w:sz w:val="20"/>
    </w:rPr>
  </w:style>
  <w:style w:type="character" w:customStyle="1" w:styleId="26">
    <w:name w:val="Plain Text Char1"/>
    <w:semiHidden/>
    <w:qFormat/>
    <w:locked/>
    <w:uiPriority w:val="99"/>
    <w:rPr>
      <w:rFonts w:ascii="宋体" w:hAnsi="Courier New"/>
      <w:sz w:val="21"/>
    </w:rPr>
  </w:style>
  <w:style w:type="character" w:customStyle="1" w:styleId="27">
    <w:name w:val="Plain Text Char2"/>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Char Char3"/>
    <w:qFormat/>
    <w:uiPriority w:val="99"/>
    <w:rPr>
      <w:rFonts w:ascii="宋体" w:hAnsi="Courier New" w:eastAsia="宋体"/>
      <w:kern w:val="2"/>
      <w:sz w:val="21"/>
      <w:lang w:val="en-US" w:eastAsia="zh-CN"/>
    </w:rPr>
  </w:style>
  <w:style w:type="character" w:customStyle="1" w:styleId="31">
    <w:name w:val="Normal Indent Char"/>
    <w:link w:val="3"/>
    <w:qFormat/>
    <w:locked/>
    <w:uiPriority w:val="99"/>
    <w:rPr>
      <w:kern w:val="2"/>
      <w:sz w:val="21"/>
    </w:rPr>
  </w:style>
  <w:style w:type="character" w:customStyle="1" w:styleId="32">
    <w:name w:val="批注文字 Char1"/>
    <w:semiHidden/>
    <w:qFormat/>
    <w:locked/>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2471</Words>
  <Characters>14086</Characters>
  <Lines>0</Lines>
  <Paragraphs>0</Paragraphs>
  <TotalTime>17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凌波</cp:lastModifiedBy>
  <cp:lastPrinted>2019-07-26T01:12:48Z</cp:lastPrinted>
  <dcterms:modified xsi:type="dcterms:W3CDTF">2019-07-26T01:18:59Z</dcterms:modified>
  <dc:title>淮阴工学院</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