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ind w:left="106" w:hanging="105" w:hangingChars="24"/>
        <w:jc w:val="center"/>
        <w:rPr>
          <w:rFonts w:ascii="方正小标宋简体" w:hAnsi="宋体" w:eastAsia="方正小标宋简体"/>
          <w:b/>
          <w:kern w:val="0"/>
          <w:sz w:val="44"/>
          <w:szCs w:val="44"/>
        </w:rPr>
      </w:pPr>
      <w:r>
        <w:rPr>
          <w:rFonts w:hint="eastAsia" w:ascii="方正小标宋简体" w:hAnsi="宋体" w:eastAsia="方正小标宋简体"/>
          <w:b/>
          <w:kern w:val="0"/>
          <w:sz w:val="44"/>
          <w:szCs w:val="44"/>
        </w:rPr>
        <w:t>计算机学院</w:t>
      </w:r>
      <w:r>
        <w:rPr>
          <w:rFonts w:ascii="方正小标宋简体" w:hAnsi="宋体" w:eastAsia="方正小标宋简体"/>
          <w:b/>
          <w:kern w:val="0"/>
          <w:sz w:val="44"/>
          <w:szCs w:val="44"/>
        </w:rPr>
        <w:t>11</w:t>
      </w:r>
      <w:r>
        <w:rPr>
          <w:rFonts w:hint="eastAsia" w:ascii="方正小标宋简体" w:hAnsi="宋体" w:eastAsia="方正小标宋简体"/>
          <w:b/>
          <w:kern w:val="0"/>
          <w:sz w:val="44"/>
          <w:szCs w:val="44"/>
        </w:rPr>
        <w:t>号楼（知行楼）</w:t>
      </w:r>
    </w:p>
    <w:p>
      <w:pPr>
        <w:spacing w:line="480" w:lineRule="auto"/>
        <w:jc w:val="center"/>
        <w:rPr>
          <w:rFonts w:ascii="黑体" w:hAnsi="黑体" w:eastAsia="黑体"/>
          <w:color w:val="000000"/>
          <w:kern w:val="0"/>
          <w:sz w:val="36"/>
          <w:szCs w:val="36"/>
        </w:rPr>
      </w:pPr>
      <w:r>
        <w:rPr>
          <w:rFonts w:ascii="方正小标宋简体" w:hAnsi="宋体" w:eastAsia="方正小标宋简体"/>
          <w:b/>
          <w:kern w:val="0"/>
          <w:sz w:val="44"/>
          <w:szCs w:val="44"/>
        </w:rPr>
        <w:t>72</w:t>
      </w:r>
      <w:r>
        <w:rPr>
          <w:rFonts w:hint="eastAsia" w:ascii="方正小标宋简体" w:hAnsi="宋体" w:eastAsia="方正小标宋简体"/>
          <w:b/>
          <w:kern w:val="0"/>
          <w:sz w:val="44"/>
          <w:szCs w:val="44"/>
        </w:rPr>
        <w:t>樘木门更换采购</w:t>
      </w:r>
    </w:p>
    <w:p>
      <w:pPr>
        <w:ind w:left="-139" w:leftChars="-90" w:hanging="50" w:hangingChars="24"/>
        <w:jc w:val="center"/>
        <w:rPr>
          <w:rFonts w:hint="eastAsia" w:ascii="黑体" w:hAnsi="黑体" w:eastAsia="黑体"/>
          <w:b/>
          <w:snapToGrid w:val="0"/>
          <w:color w:val="000000"/>
          <w:szCs w:val="21"/>
        </w:rPr>
      </w:pPr>
    </w:p>
    <w:p>
      <w:pPr>
        <w:ind w:left="-139" w:leftChars="-90" w:hanging="50" w:hangingChars="24"/>
        <w:jc w:val="center"/>
        <w:rPr>
          <w:rFonts w:hint="eastAsia" w:ascii="黑体" w:hAnsi="黑体" w:eastAsia="黑体"/>
          <w:b/>
          <w:snapToGrid w:val="0"/>
          <w:color w:val="000000"/>
          <w:szCs w:val="21"/>
        </w:rPr>
      </w:pPr>
    </w:p>
    <w:p>
      <w:pPr>
        <w:ind w:left="-139" w:leftChars="-90" w:hanging="50" w:hangingChars="24"/>
        <w:jc w:val="center"/>
        <w:rPr>
          <w:rFonts w:hint="eastAsia" w:ascii="黑体" w:hAnsi="黑体" w:eastAsia="黑体"/>
          <w:b/>
          <w:snapToGrid w:val="0"/>
          <w:color w:val="000000"/>
          <w:szCs w:val="21"/>
        </w:rPr>
      </w:pPr>
    </w:p>
    <w:p>
      <w:pPr>
        <w:ind w:left="-139" w:leftChars="-90" w:hanging="50" w:hangingChars="24"/>
        <w:jc w:val="center"/>
        <w:rPr>
          <w:rFonts w:hint="eastAsia"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6"/>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黑体" w:hAnsi="黑体" w:eastAsia="宋体"/>
          <w:snapToGrid w:val="0"/>
          <w:color w:val="000000"/>
          <w:szCs w:val="21"/>
          <w:lang w:val="en-US" w:eastAsia="zh-CN"/>
        </w:rPr>
      </w:pPr>
      <w:r>
        <w:rPr>
          <w:rFonts w:hint="eastAsia" w:ascii="宋体" w:hAnsi="宋体"/>
          <w:snapToGrid w:val="0"/>
          <w:color w:val="000000"/>
          <w:sz w:val="24"/>
          <w:szCs w:val="24"/>
        </w:rPr>
        <w:t>项目编号：</w:t>
      </w:r>
      <w:r>
        <w:rPr>
          <w:rFonts w:ascii="宋体" w:hAnsi="宋体"/>
          <w:snapToGrid w:val="0"/>
          <w:color w:val="000000"/>
          <w:sz w:val="24"/>
          <w:szCs w:val="24"/>
        </w:rPr>
        <w:t>HGZB</w:t>
      </w:r>
      <w:r>
        <w:rPr>
          <w:rFonts w:hint="eastAsia" w:ascii="宋体" w:hAnsi="宋体"/>
          <w:snapToGrid w:val="0"/>
          <w:color w:val="000000"/>
          <w:sz w:val="24"/>
          <w:szCs w:val="24"/>
          <w:lang w:val="en-US" w:eastAsia="zh-CN"/>
        </w:rPr>
        <w:t>20190041</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w:t>
      </w:r>
      <w:r>
        <w:rPr>
          <w:rFonts w:hint="eastAsia" w:ascii="黑体" w:hAnsi="黑体" w:eastAsia="黑体"/>
          <w:b/>
          <w:color w:val="000000"/>
          <w:sz w:val="30"/>
          <w:szCs w:val="30"/>
        </w:rPr>
        <w:t>19年</w:t>
      </w:r>
      <w:r>
        <w:rPr>
          <w:rFonts w:ascii="黑体" w:hAnsi="黑体" w:eastAsia="黑体"/>
          <w:b/>
          <w:color w:val="000000"/>
          <w:sz w:val="30"/>
          <w:szCs w:val="30"/>
        </w:rPr>
        <w:t xml:space="preserve"> </w:t>
      </w:r>
      <w:r>
        <w:rPr>
          <w:rFonts w:hint="eastAsia" w:ascii="黑体" w:hAnsi="黑体" w:eastAsia="黑体"/>
          <w:b/>
          <w:color w:val="000000"/>
          <w:sz w:val="30"/>
          <w:szCs w:val="30"/>
        </w:rPr>
        <w:t>07月</w:t>
      </w:r>
      <w:r>
        <w:rPr>
          <w:rFonts w:ascii="黑体" w:hAnsi="黑体" w:eastAsia="黑体"/>
          <w:b/>
          <w:color w:val="000000"/>
          <w:sz w:val="30"/>
          <w:szCs w:val="30"/>
        </w:rPr>
        <w:t xml:space="preserve"> </w:t>
      </w:r>
      <w:r>
        <w:rPr>
          <w:rFonts w:hint="eastAsia" w:ascii="黑体" w:hAnsi="黑体" w:eastAsia="黑体"/>
          <w:b/>
          <w:color w:val="000000"/>
          <w:sz w:val="30"/>
          <w:szCs w:val="30"/>
        </w:rPr>
        <w:t>0</w:t>
      </w:r>
      <w:r>
        <w:rPr>
          <w:rFonts w:hint="eastAsia" w:ascii="黑体" w:hAnsi="黑体" w:eastAsia="黑体"/>
          <w:b/>
          <w:color w:val="000000"/>
          <w:sz w:val="30"/>
          <w:szCs w:val="30"/>
          <w:lang w:val="en-US" w:eastAsia="zh-CN"/>
        </w:rPr>
        <w:t>3</w:t>
      </w:r>
      <w:r>
        <w:rPr>
          <w:rFonts w:hint="eastAsia" w:ascii="黑体" w:hAnsi="黑体" w:eastAsia="黑体"/>
          <w:b/>
          <w:color w:val="000000"/>
          <w:sz w:val="30"/>
          <w:szCs w:val="30"/>
        </w:rPr>
        <w:t>日</w:t>
      </w: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rFonts w:hint="eastAsia" w:eastAsia="宋体"/>
          <w:color w:val="000000"/>
          <w:sz w:val="28"/>
          <w:lang w:eastAsia="zh-CN"/>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w:t>
      </w:r>
      <w:r>
        <w:rPr>
          <w:rFonts w:hint="eastAsia"/>
          <w:color w:val="000000"/>
          <w:sz w:val="28"/>
          <w:lang w:val="en-US" w:eastAsia="zh-CN"/>
        </w:rPr>
        <w:t>3</w:t>
      </w:r>
    </w:p>
    <w:p>
      <w:pPr>
        <w:spacing w:line="680" w:lineRule="exact"/>
        <w:rPr>
          <w:rFonts w:hint="default" w:eastAsia="宋体"/>
          <w:color w:val="000000"/>
          <w:sz w:val="28"/>
          <w:lang w:val="en-US" w:eastAsia="zh-CN"/>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r>
        <w:rPr>
          <w:rFonts w:hint="eastAsia"/>
          <w:color w:val="000000"/>
          <w:sz w:val="28"/>
          <w:lang w:val="en-US" w:eastAsia="zh-CN"/>
        </w:rPr>
        <w:t>16</w:t>
      </w:r>
    </w:p>
    <w:p>
      <w:pPr>
        <w:spacing w:line="680" w:lineRule="exact"/>
        <w:rPr>
          <w:rFonts w:hint="default" w:eastAsia="宋体"/>
          <w:color w:val="000000"/>
          <w:sz w:val="28"/>
          <w:lang w:val="en-US" w:eastAsia="zh-CN"/>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w:t>
      </w:r>
      <w:r>
        <w:rPr>
          <w:rFonts w:hint="eastAsia"/>
          <w:color w:val="000000"/>
          <w:sz w:val="28"/>
          <w:lang w:val="en-US" w:eastAsia="zh-CN"/>
        </w:rPr>
        <w:t>20</w:t>
      </w:r>
    </w:p>
    <w:p>
      <w:pPr>
        <w:spacing w:line="680" w:lineRule="exact"/>
        <w:rPr>
          <w:rFonts w:hint="default" w:eastAsia="宋体"/>
          <w:color w:val="000000"/>
          <w:sz w:val="28"/>
          <w:lang w:val="en-US" w:eastAsia="zh-CN"/>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w:t>
      </w:r>
      <w:r>
        <w:rPr>
          <w:rFonts w:hint="eastAsia"/>
          <w:color w:val="000000"/>
          <w:sz w:val="28"/>
          <w:lang w:val="en-US" w:eastAsia="zh-CN"/>
        </w:rPr>
        <w:t>22</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color w:val="000000"/>
          <w:sz w:val="24"/>
          <w:szCs w:val="24"/>
        </w:rPr>
      </w:pPr>
      <w:r>
        <w:rPr>
          <w:rFonts w:hint="eastAsia"/>
          <w:color w:val="000000"/>
          <w:sz w:val="24"/>
          <w:szCs w:val="24"/>
        </w:rPr>
        <w:t>一、招标项目</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color w:val="000000"/>
          <w:sz w:val="24"/>
          <w:szCs w:val="24"/>
        </w:rPr>
      </w:pPr>
      <w:r>
        <w:rPr>
          <w:rFonts w:hint="eastAsia"/>
          <w:color w:val="000000"/>
          <w:sz w:val="24"/>
          <w:szCs w:val="24"/>
          <w:lang w:val="en-US" w:eastAsia="zh-CN"/>
        </w:rPr>
        <w:t>1.</w:t>
      </w:r>
      <w:r>
        <w:rPr>
          <w:rFonts w:hint="eastAsia"/>
          <w:color w:val="000000"/>
          <w:sz w:val="24"/>
          <w:szCs w:val="24"/>
        </w:rPr>
        <w:t>项目名称：</w:t>
      </w:r>
      <w:r>
        <w:rPr>
          <w:rFonts w:hint="eastAsia"/>
          <w:sz w:val="24"/>
          <w:szCs w:val="24"/>
        </w:rPr>
        <w:t>计算机学院</w:t>
      </w:r>
      <w:r>
        <w:rPr>
          <w:sz w:val="24"/>
          <w:szCs w:val="24"/>
        </w:rPr>
        <w:t>11</w:t>
      </w:r>
      <w:r>
        <w:rPr>
          <w:rFonts w:hint="eastAsia"/>
          <w:sz w:val="24"/>
          <w:szCs w:val="24"/>
        </w:rPr>
        <w:t>号楼（知行楼）72樘木门更换采购</w:t>
      </w:r>
      <w:r>
        <w:rPr>
          <w:rFonts w:hint="eastAsia"/>
          <w:color w:val="000000"/>
          <w:sz w:val="24"/>
          <w:szCs w:val="24"/>
        </w:rPr>
        <w:t>。</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color w:val="000000"/>
          <w:sz w:val="24"/>
          <w:szCs w:val="24"/>
        </w:rPr>
      </w:pPr>
      <w:r>
        <w:rPr>
          <w:rFonts w:hint="eastAsia"/>
          <w:color w:val="000000"/>
          <w:sz w:val="24"/>
          <w:szCs w:val="24"/>
          <w:lang w:val="en-US" w:eastAsia="zh-CN"/>
        </w:rPr>
        <w:t>2.</w:t>
      </w:r>
      <w:r>
        <w:rPr>
          <w:rFonts w:hint="eastAsia"/>
          <w:color w:val="000000"/>
          <w:sz w:val="24"/>
          <w:szCs w:val="24"/>
        </w:rPr>
        <w:t>项目</w:t>
      </w:r>
      <w:r>
        <w:rPr>
          <w:rFonts w:hint="eastAsia"/>
          <w:color w:val="000000"/>
          <w:sz w:val="24"/>
          <w:szCs w:val="24"/>
          <w:lang w:val="en-US" w:eastAsia="zh-CN"/>
        </w:rPr>
        <w:t>最高</w:t>
      </w:r>
      <w:r>
        <w:rPr>
          <w:rFonts w:hint="eastAsia"/>
          <w:color w:val="000000"/>
          <w:sz w:val="24"/>
          <w:szCs w:val="24"/>
        </w:rPr>
        <w:t>限价：10.8万元。</w:t>
      </w:r>
    </w:p>
    <w:p>
      <w:pPr>
        <w:keepNext w:val="0"/>
        <w:keepLines w:val="0"/>
        <w:pageBreakBefore w:val="0"/>
        <w:widowControl/>
        <w:kinsoku/>
        <w:overflowPunct/>
        <w:topLinePunct w:val="0"/>
        <w:autoSpaceDE/>
        <w:autoSpaceDN/>
        <w:bidi w:val="0"/>
        <w:adjustRightInd/>
        <w:snapToGrid/>
        <w:spacing w:after="0" w:line="360" w:lineRule="auto"/>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项目简要说明：淮阴工学院因计算机与软件工程学院建设发展需要，欲订购套装免漆复合实木门一批，现面向社会公开招标。</w:t>
      </w:r>
    </w:p>
    <w:p>
      <w:pPr>
        <w:keepNext w:val="0"/>
        <w:keepLines w:val="0"/>
        <w:pageBreakBefore w:val="0"/>
        <w:widowControl/>
        <w:kinsoku/>
        <w:overflowPunct/>
        <w:topLinePunct w:val="0"/>
        <w:autoSpaceDE/>
        <w:autoSpaceDN/>
        <w:bidi w:val="0"/>
        <w:adjustRightInd/>
        <w:snapToGrid/>
        <w:spacing w:after="0" w:line="360" w:lineRule="auto"/>
        <w:ind w:firstLine="480" w:firstLineChars="200"/>
        <w:textAlignment w:val="auto"/>
        <w:rPr>
          <w:color w:val="000000"/>
          <w:sz w:val="24"/>
          <w:szCs w:val="24"/>
        </w:rPr>
      </w:pPr>
      <w:r>
        <w:rPr>
          <w:rFonts w:hint="eastAsia"/>
          <w:color w:val="000000"/>
          <w:sz w:val="24"/>
          <w:szCs w:val="24"/>
        </w:rPr>
        <w:t>具体要求见第二章。</w:t>
      </w:r>
    </w:p>
    <w:p>
      <w:pPr>
        <w:keepNext w:val="0"/>
        <w:keepLines w:val="0"/>
        <w:pageBreakBefore w:val="0"/>
        <w:widowControl/>
        <w:kinsoku/>
        <w:overflowPunct/>
        <w:topLinePunct w:val="0"/>
        <w:autoSpaceDE/>
        <w:autoSpaceDN/>
        <w:bidi w:val="0"/>
        <w:adjustRightInd/>
        <w:snapToGrid/>
        <w:spacing w:after="0" w:line="360" w:lineRule="auto"/>
        <w:ind w:firstLine="480" w:firstLineChars="200"/>
        <w:textAlignment w:val="auto"/>
        <w:rPr>
          <w:color w:val="000000"/>
          <w:sz w:val="24"/>
          <w:szCs w:val="24"/>
        </w:rPr>
      </w:pPr>
      <w:r>
        <w:rPr>
          <w:rFonts w:hint="eastAsia"/>
          <w:color w:val="000000"/>
          <w:sz w:val="24"/>
          <w:szCs w:val="24"/>
        </w:rPr>
        <w:t>二、投标人的资格条件</w:t>
      </w:r>
    </w:p>
    <w:p>
      <w:pPr>
        <w:keepNext w:val="0"/>
        <w:keepLines w:val="0"/>
        <w:pageBreakBefore w:val="0"/>
        <w:widowControl/>
        <w:kinsoku/>
        <w:overflowPunct/>
        <w:topLinePunct w:val="0"/>
        <w:autoSpaceDE/>
        <w:autoSpaceDN/>
        <w:bidi w:val="0"/>
        <w:adjustRightInd/>
        <w:snapToGrid/>
        <w:spacing w:after="0" w:line="360" w:lineRule="auto"/>
        <w:ind w:firstLine="480" w:firstLineChars="200"/>
        <w:textAlignment w:val="auto"/>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keepNext w:val="0"/>
        <w:keepLines w:val="0"/>
        <w:pageBreakBefore w:val="0"/>
        <w:widowControl/>
        <w:kinsoku/>
        <w:overflowPunct/>
        <w:topLinePunct w:val="0"/>
        <w:autoSpaceDE/>
        <w:autoSpaceDN/>
        <w:bidi w:val="0"/>
        <w:adjustRightInd/>
        <w:snapToGrid/>
        <w:spacing w:after="0" w:line="360" w:lineRule="auto"/>
        <w:ind w:firstLine="480" w:firstLineChars="200"/>
        <w:textAlignment w:val="auto"/>
        <w:rPr>
          <w:color w:val="000000"/>
          <w:kern w:val="0"/>
          <w:sz w:val="24"/>
          <w:szCs w:val="24"/>
        </w:rPr>
      </w:pPr>
      <w:r>
        <w:rPr>
          <w:color w:val="000000"/>
          <w:kern w:val="0"/>
          <w:sz w:val="24"/>
          <w:szCs w:val="24"/>
        </w:rPr>
        <w:t>1</w:t>
      </w:r>
      <w:r>
        <w:rPr>
          <w:rFonts w:hint="eastAsia"/>
          <w:color w:val="000000"/>
          <w:kern w:val="0"/>
          <w:sz w:val="24"/>
          <w:szCs w:val="24"/>
        </w:rPr>
        <w:t>经国家行政主管部门批准注册的</w:t>
      </w:r>
      <w:r>
        <w:rPr>
          <w:rFonts w:hint="eastAsia"/>
          <w:color w:val="000000"/>
          <w:kern w:val="0"/>
          <w:sz w:val="24"/>
          <w:szCs w:val="24"/>
          <w:lang w:val="en-US" w:eastAsia="zh-CN"/>
        </w:rPr>
        <w:t>独立企业法人或个体工商户</w:t>
      </w:r>
      <w:r>
        <w:rPr>
          <w:rFonts w:hint="eastAsia"/>
          <w:color w:val="000000"/>
          <w:kern w:val="0"/>
          <w:sz w:val="24"/>
          <w:szCs w:val="24"/>
        </w:rPr>
        <w:t>；</w:t>
      </w:r>
    </w:p>
    <w:p>
      <w:pPr>
        <w:keepNext w:val="0"/>
        <w:keepLines w:val="0"/>
        <w:pageBreakBefore w:val="0"/>
        <w:widowControl/>
        <w:kinsoku/>
        <w:overflowPunct/>
        <w:topLinePunct w:val="0"/>
        <w:autoSpaceDE/>
        <w:autoSpaceDN/>
        <w:bidi w:val="0"/>
        <w:adjustRightInd/>
        <w:snapToGrid/>
        <w:spacing w:after="0" w:line="360" w:lineRule="auto"/>
        <w:ind w:firstLine="480" w:firstLineChars="200"/>
        <w:jc w:val="left"/>
        <w:textAlignment w:val="auto"/>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bCs/>
          <w:color w:val="000000"/>
          <w:spacing w:val="15"/>
          <w:kern w:val="0"/>
          <w:sz w:val="24"/>
          <w:szCs w:val="24"/>
        </w:rPr>
      </w:pPr>
      <w:r>
        <w:rPr>
          <w:color w:val="000000"/>
          <w:kern w:val="0"/>
          <w:sz w:val="24"/>
          <w:szCs w:val="24"/>
        </w:rPr>
        <w:t>3</w:t>
      </w:r>
      <w:r>
        <w:rPr>
          <w:rFonts w:hint="eastAsia"/>
          <w:color w:val="000000"/>
          <w:sz w:val="24"/>
          <w:szCs w:val="24"/>
        </w:rPr>
        <w:t>参加本次投标的投标人若非生产企业，须具有产品经销商</w:t>
      </w:r>
      <w:r>
        <w:rPr>
          <w:rFonts w:hint="eastAsia"/>
          <w:bCs/>
          <w:color w:val="000000"/>
          <w:spacing w:val="15"/>
          <w:kern w:val="0"/>
          <w:sz w:val="24"/>
          <w:szCs w:val="24"/>
        </w:rPr>
        <w:t>或代理商资格（生产商对项目授权视同满足要求）；</w:t>
      </w:r>
    </w:p>
    <w:p>
      <w:pPr>
        <w:keepNext w:val="0"/>
        <w:keepLines w:val="0"/>
        <w:pageBreakBefore w:val="0"/>
        <w:widowControl/>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pPr>
        <w:keepNext w:val="0"/>
        <w:keepLines w:val="0"/>
        <w:pageBreakBefore w:val="0"/>
        <w:widowControl/>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pPr>
        <w:keepNext w:val="0"/>
        <w:keepLines w:val="0"/>
        <w:pageBreakBefore w:val="0"/>
        <w:widowControl/>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本次招标不接受联合体供应商参加投标。</w:t>
      </w:r>
    </w:p>
    <w:p>
      <w:pPr>
        <w:keepNext w:val="0"/>
        <w:keepLines w:val="0"/>
        <w:pageBreakBefore w:val="0"/>
        <w:widowControl/>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color w:val="000000"/>
          <w:spacing w:val="15"/>
          <w:kern w:val="0"/>
          <w:sz w:val="24"/>
          <w:szCs w:val="24"/>
        </w:rPr>
        <w:t>7</w:t>
      </w:r>
      <w:r>
        <w:rPr>
          <w:rFonts w:hint="eastAsia"/>
          <w:color w:val="000000"/>
          <w:spacing w:val="15"/>
          <w:kern w:val="0"/>
          <w:sz w:val="24"/>
          <w:szCs w:val="24"/>
        </w:rPr>
        <w:t>拒绝下述条件的供应商参加本次采购活动</w:t>
      </w:r>
      <w:r>
        <w:rPr>
          <w:color w:val="000000"/>
          <w:spacing w:val="15"/>
          <w:kern w:val="0"/>
          <w:sz w:val="24"/>
          <w:szCs w:val="24"/>
        </w:rPr>
        <w:t>:</w:t>
      </w:r>
    </w:p>
    <w:p>
      <w:pPr>
        <w:keepNext w:val="0"/>
        <w:keepLines w:val="0"/>
        <w:pageBreakBefore w:val="0"/>
        <w:widowControl/>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color w:val="000000"/>
          <w:spacing w:val="15"/>
          <w:kern w:val="0"/>
          <w:sz w:val="24"/>
          <w:szCs w:val="24"/>
        </w:rPr>
        <w:t>7.1</w:t>
      </w:r>
      <w:r>
        <w:rPr>
          <w:rFonts w:hint="eastAsia"/>
          <w:color w:val="000000"/>
          <w:spacing w:val="15"/>
          <w:kern w:val="0"/>
          <w:sz w:val="24"/>
          <w:szCs w:val="24"/>
        </w:rPr>
        <w:t>供应商单位负责人为同一人或者存在直接控股、管理关系的不同供应商，不得同时参加同一合同项下的政府采购活动。</w:t>
      </w:r>
    </w:p>
    <w:p>
      <w:pPr>
        <w:keepNext w:val="0"/>
        <w:keepLines w:val="0"/>
        <w:pageBreakBefore w:val="0"/>
        <w:widowControl/>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color w:val="000000"/>
          <w:spacing w:val="15"/>
          <w:kern w:val="0"/>
          <w:sz w:val="24"/>
          <w:szCs w:val="24"/>
        </w:rPr>
        <w:t>7.2</w:t>
      </w:r>
      <w:r>
        <w:rPr>
          <w:rFonts w:hint="eastAsia"/>
          <w:color w:val="000000"/>
          <w:spacing w:val="15"/>
          <w:kern w:val="0"/>
          <w:sz w:val="24"/>
          <w:szCs w:val="24"/>
        </w:rPr>
        <w:t>凡为采购项目提供整体设计、规范编制或者项目管理、监理、检测等服务的供应商，不得再参加本项目的采购活动。</w:t>
      </w:r>
    </w:p>
    <w:p>
      <w:pPr>
        <w:keepNext w:val="0"/>
        <w:keepLines w:val="0"/>
        <w:pageBreakBefore w:val="0"/>
        <w:widowControl/>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keepNext w:val="0"/>
        <w:keepLines w:val="0"/>
        <w:pageBreakBefore w:val="0"/>
        <w:kinsoku/>
        <w:overflowPunct/>
        <w:topLinePunct w:val="0"/>
        <w:autoSpaceDE/>
        <w:autoSpaceDN/>
        <w:bidi w:val="0"/>
        <w:adjustRightInd/>
        <w:snapToGrid/>
        <w:spacing w:after="0" w:line="360" w:lineRule="auto"/>
        <w:ind w:firstLine="540" w:firstLineChars="200"/>
        <w:textAlignment w:val="auto"/>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keepNext w:val="0"/>
        <w:keepLines w:val="0"/>
        <w:pageBreakBefore w:val="0"/>
        <w:kinsoku/>
        <w:overflowPunct/>
        <w:topLinePunct w:val="0"/>
        <w:autoSpaceDE/>
        <w:autoSpaceDN/>
        <w:bidi w:val="0"/>
        <w:adjustRightInd/>
        <w:snapToGrid/>
        <w:spacing w:after="0" w:line="360" w:lineRule="auto"/>
        <w:ind w:firstLine="488" w:firstLineChars="200"/>
        <w:textAlignment w:val="auto"/>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rFonts w:ascii="宋体" w:cs="仿宋"/>
          <w:color w:val="000000"/>
          <w:sz w:val="24"/>
          <w:szCs w:val="24"/>
        </w:rPr>
      </w:pPr>
      <w:r>
        <w:rPr>
          <w:rFonts w:hint="eastAsia" w:ascii="宋体" w:hAnsi="宋体" w:cs="仿宋"/>
          <w:color w:val="000000"/>
          <w:sz w:val="24"/>
          <w:szCs w:val="24"/>
        </w:rPr>
        <w:t>四、招标文件</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keepNext w:val="0"/>
        <w:keepLines w:val="0"/>
        <w:pageBreakBefore w:val="0"/>
        <w:kinsoku/>
        <w:wordWrap w:val="0"/>
        <w:overflowPunct/>
        <w:topLinePunct w:val="0"/>
        <w:autoSpaceDE/>
        <w:autoSpaceDN/>
        <w:bidi w:val="0"/>
        <w:adjustRightInd/>
        <w:snapToGrid/>
        <w:spacing w:after="0" w:line="360" w:lineRule="auto"/>
        <w:ind w:firstLine="480" w:firstLineChars="200"/>
        <w:jc w:val="left"/>
        <w:textAlignment w:val="auto"/>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auto"/>
          <w:szCs w:val="21"/>
          <w:highlight w:val="none"/>
        </w:rPr>
        <w:t>（</w:t>
      </w:r>
      <w:r>
        <w:rPr>
          <w:rFonts w:ascii="宋体" w:hAnsi="宋体" w:cs="仿宋"/>
          <w:color w:val="auto"/>
          <w:szCs w:val="21"/>
          <w:highlight w:val="none"/>
        </w:rPr>
        <w:t>http://www.hyit.edu.cn/index/tzgg.htm</w:t>
      </w:r>
      <w:r>
        <w:rPr>
          <w:rFonts w:hint="eastAsia" w:ascii="宋体" w:hAnsi="宋体" w:cs="仿宋"/>
          <w:color w:val="auto"/>
          <w:szCs w:val="21"/>
          <w:highlight w:val="none"/>
        </w:rPr>
        <w:t>或</w:t>
      </w:r>
      <w:r>
        <w:rPr>
          <w:rFonts w:ascii="宋体" w:hAnsi="宋体" w:cs="仿宋"/>
          <w:color w:val="auto"/>
          <w:szCs w:val="21"/>
          <w:highlight w:val="none"/>
        </w:rPr>
        <w:t>http://zbb.hyit.edu.cn/</w:t>
      </w:r>
      <w:r>
        <w:rPr>
          <w:rFonts w:hint="eastAsia" w:ascii="宋体" w:hAnsi="宋体" w:cs="仿宋"/>
          <w:color w:val="auto"/>
          <w:szCs w:val="21"/>
          <w:highlight w:val="none"/>
        </w:rPr>
        <w:t>）</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投标人无需提前现场报名，可直接在网站下载招标文件电子文档。招标文件资料费为100元，投标人在投标前采用汇款方式（账号同投标保证金账号）或到淮阴工学院财务处刷卡方式交纳该费用（淮安市枚乘东路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keepNext w:val="0"/>
        <w:keepLines w:val="0"/>
        <w:pageBreakBefore w:val="0"/>
        <w:kinsoku/>
        <w:overflowPunct/>
        <w:topLinePunct w:val="0"/>
        <w:autoSpaceDE/>
        <w:autoSpaceDN/>
        <w:bidi w:val="0"/>
        <w:adjustRightInd/>
        <w:snapToGrid/>
        <w:spacing w:after="0" w:line="360" w:lineRule="auto"/>
        <w:ind w:firstLine="480" w:firstLineChars="200"/>
        <w:jc w:val="left"/>
        <w:textAlignment w:val="auto"/>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keepNext w:val="0"/>
        <w:keepLines w:val="0"/>
        <w:pageBreakBefore w:val="0"/>
        <w:widowControl/>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rFonts w:hint="eastAsia"/>
          <w:bCs/>
          <w:color w:val="000000"/>
          <w:spacing w:val="15"/>
          <w:kern w:val="0"/>
          <w:sz w:val="24"/>
          <w:szCs w:val="24"/>
        </w:rPr>
        <w:t>五、投标保证金</w:t>
      </w:r>
    </w:p>
    <w:p>
      <w:pPr>
        <w:keepNext w:val="0"/>
        <w:keepLines w:val="0"/>
        <w:pageBreakBefore w:val="0"/>
        <w:kinsoku/>
        <w:overflowPunct/>
        <w:topLinePunct w:val="0"/>
        <w:autoSpaceDE/>
        <w:autoSpaceDN/>
        <w:bidi w:val="0"/>
        <w:adjustRightInd/>
        <w:snapToGrid/>
        <w:spacing w:after="0" w:line="360" w:lineRule="auto"/>
        <w:ind w:firstLine="540" w:firstLineChars="200"/>
        <w:textAlignment w:val="auto"/>
        <w:rPr>
          <w:rFonts w:ascii="宋体" w:cs="仿宋"/>
          <w:color w:val="000000"/>
          <w:sz w:val="24"/>
          <w:szCs w:val="24"/>
        </w:rPr>
      </w:pPr>
      <w:r>
        <w:rPr>
          <w:rFonts w:hint="eastAsia"/>
          <w:color w:val="000000"/>
          <w:spacing w:val="15"/>
          <w:kern w:val="0"/>
          <w:sz w:val="24"/>
          <w:szCs w:val="24"/>
        </w:rPr>
        <w:t>本项目投标保证金金额为2000元。投标人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因暑期学校放假，未中标单位投标保证金退还手续在2019年9月办理，不计任何相关利息损失。投标时需同时提交投标文件和投标保证金退款单（见附件）。</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sz w:val="24"/>
          <w:szCs w:val="24"/>
        </w:rPr>
      </w:pPr>
      <w:r>
        <w:rPr>
          <w:rFonts w:hint="eastAsia"/>
          <w:sz w:val="24"/>
          <w:szCs w:val="24"/>
        </w:rPr>
        <w:t>六、现场踏勘</w:t>
      </w:r>
    </w:p>
    <w:p>
      <w:pPr>
        <w:keepNext w:val="0"/>
        <w:keepLines w:val="0"/>
        <w:pageBreakBefore w:val="0"/>
        <w:kinsoku/>
        <w:overflowPunct/>
        <w:topLinePunct w:val="0"/>
        <w:autoSpaceDE/>
        <w:autoSpaceDN/>
        <w:bidi w:val="0"/>
        <w:adjustRightInd/>
        <w:snapToGrid/>
        <w:spacing w:after="0" w:line="360" w:lineRule="auto"/>
        <w:ind w:firstLine="420" w:firstLineChars="175"/>
        <w:textAlignment w:val="auto"/>
        <w:rPr>
          <w:sz w:val="24"/>
          <w:szCs w:val="24"/>
        </w:rPr>
      </w:pPr>
      <w:r>
        <w:rPr>
          <w:rFonts w:hint="eastAsia"/>
          <w:sz w:val="24"/>
          <w:szCs w:val="24"/>
        </w:rPr>
        <w:t>地点：淮阴工学院枚乘路校区知行楼（原</w:t>
      </w:r>
      <w:r>
        <w:rPr>
          <w:sz w:val="24"/>
          <w:szCs w:val="24"/>
        </w:rPr>
        <w:t>11</w:t>
      </w:r>
      <w:r>
        <w:rPr>
          <w:rFonts w:hint="eastAsia"/>
          <w:sz w:val="24"/>
          <w:szCs w:val="24"/>
        </w:rPr>
        <w:t>号教学楼）。</w:t>
      </w:r>
    </w:p>
    <w:p>
      <w:pPr>
        <w:keepNext w:val="0"/>
        <w:keepLines w:val="0"/>
        <w:pageBreakBefore w:val="0"/>
        <w:kinsoku/>
        <w:overflowPunct/>
        <w:topLinePunct w:val="0"/>
        <w:autoSpaceDE/>
        <w:autoSpaceDN/>
        <w:bidi w:val="0"/>
        <w:adjustRightInd/>
        <w:snapToGrid/>
        <w:spacing w:after="0" w:line="360" w:lineRule="auto"/>
        <w:ind w:firstLine="420" w:firstLineChars="175"/>
        <w:textAlignment w:val="auto"/>
        <w:rPr>
          <w:sz w:val="24"/>
          <w:szCs w:val="24"/>
        </w:rPr>
      </w:pPr>
      <w:r>
        <w:rPr>
          <w:rFonts w:hint="eastAsia"/>
          <w:sz w:val="24"/>
          <w:szCs w:val="24"/>
        </w:rPr>
        <w:t>费用：由投标人承担。</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hint="eastAsia" w:ascii="宋体" w:hAnsi="宋体" w:cs="宋体"/>
          <w:color w:val="000000"/>
          <w:kern w:val="0"/>
          <w:sz w:val="24"/>
          <w:szCs w:val="24"/>
        </w:rPr>
      </w:pPr>
      <w:r>
        <w:rPr>
          <w:rFonts w:hint="eastAsia"/>
          <w:sz w:val="24"/>
          <w:szCs w:val="24"/>
        </w:rPr>
        <w:t>时间：</w:t>
      </w:r>
      <w:r>
        <w:rPr>
          <w:rFonts w:hint="eastAsia" w:ascii="宋体" w:hAnsi="宋体" w:cs="宋体"/>
          <w:color w:val="000000"/>
          <w:kern w:val="0"/>
          <w:sz w:val="24"/>
          <w:szCs w:val="24"/>
        </w:rPr>
        <w:t>2019年7月</w:t>
      </w:r>
      <w:r>
        <w:rPr>
          <w:rFonts w:hint="eastAsia" w:ascii="宋体" w:hAnsi="宋体" w:cs="宋体"/>
          <w:color w:val="000000"/>
          <w:kern w:val="0"/>
          <w:sz w:val="24"/>
          <w:szCs w:val="24"/>
          <w:lang w:val="en-US" w:eastAsia="zh-CN"/>
        </w:rPr>
        <w:t>9-10</w:t>
      </w:r>
      <w:r>
        <w:rPr>
          <w:rFonts w:hint="eastAsia" w:ascii="宋体" w:hAnsi="宋体" w:cs="宋体"/>
          <w:color w:val="000000"/>
          <w:kern w:val="0"/>
          <w:sz w:val="24"/>
          <w:szCs w:val="24"/>
        </w:rPr>
        <w:t>日08:00—17:00</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2"/>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参与现场勘查的单位要办理签到、回执手续，并将回执手续复印件装入投标文件中。不接受未参与现场勘查的单位的投标，未参与现场勘察的投标为无效投标。</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color w:val="000000"/>
          <w:sz w:val="24"/>
          <w:szCs w:val="24"/>
        </w:rPr>
      </w:pPr>
      <w:r>
        <w:rPr>
          <w:rFonts w:hint="eastAsia"/>
          <w:color w:val="000000"/>
          <w:sz w:val="24"/>
          <w:szCs w:val="24"/>
        </w:rPr>
        <w:t>七、投标文件组成</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color w:val="000000"/>
          <w:sz w:val="24"/>
          <w:szCs w:val="24"/>
        </w:rPr>
      </w:pPr>
      <w:r>
        <w:rPr>
          <w:color w:val="000000"/>
          <w:sz w:val="24"/>
          <w:szCs w:val="24"/>
        </w:rPr>
        <w:t>1.</w:t>
      </w:r>
      <w:r>
        <w:rPr>
          <w:rFonts w:hint="eastAsia"/>
          <w:color w:val="000000"/>
          <w:sz w:val="24"/>
          <w:szCs w:val="24"/>
        </w:rPr>
        <w:t>投标函（格式见第四章）。</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rFonts w:hint="eastAsia"/>
          <w:color w:val="000000"/>
          <w:sz w:val="24"/>
          <w:szCs w:val="24"/>
        </w:rPr>
      </w:pPr>
      <w:r>
        <w:rPr>
          <w:color w:val="000000"/>
          <w:kern w:val="0"/>
          <w:sz w:val="24"/>
          <w:szCs w:val="24"/>
        </w:rPr>
        <w:t>2.</w:t>
      </w:r>
      <w:r>
        <w:rPr>
          <w:rFonts w:hint="eastAsia"/>
        </w:rPr>
        <w:t xml:space="preserve"> </w:t>
      </w:r>
      <w:r>
        <w:rPr>
          <w:rFonts w:hint="eastAsia"/>
          <w:color w:val="000000"/>
          <w:kern w:val="0"/>
          <w:sz w:val="24"/>
          <w:szCs w:val="24"/>
        </w:rPr>
        <w:t>套装免漆复合实木门及安装投标报价表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投标商应在投标报价表中写明单价和总价，套装免漆复合实木门的品牌、详细参数。投标报价应包括招标范围内所有工作内容所必须的材料采购、产品的生产、包装、运输、装卸、加工、安装（楼层1-5楼）、安全、保险、保修、检测报告</w:t>
      </w:r>
      <w:r>
        <w:rPr>
          <w:rFonts w:hint="eastAsia"/>
          <w:color w:val="000000"/>
          <w:sz w:val="24"/>
          <w:szCs w:val="24"/>
          <w:lang w:eastAsia="zh-CN"/>
        </w:rPr>
        <w:t>（</w:t>
      </w:r>
      <w:r>
        <w:rPr>
          <w:rFonts w:hint="eastAsia"/>
          <w:color w:val="000000"/>
          <w:sz w:val="24"/>
          <w:szCs w:val="24"/>
        </w:rPr>
        <w:t>检测等相关费用由中标人承担）、税金、售后服务等一切费用。</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color w:val="000000"/>
          <w:kern w:val="0"/>
          <w:sz w:val="24"/>
          <w:szCs w:val="24"/>
        </w:rPr>
      </w:pPr>
      <w:r>
        <w:rPr>
          <w:color w:val="000000"/>
          <w:kern w:val="0"/>
          <w:sz w:val="24"/>
          <w:szCs w:val="24"/>
        </w:rPr>
        <w:t>3.</w:t>
      </w:r>
      <w:r>
        <w:rPr>
          <w:rFonts w:hint="eastAsia"/>
          <w:color w:val="000000"/>
          <w:kern w:val="0"/>
          <w:sz w:val="24"/>
          <w:szCs w:val="24"/>
        </w:rPr>
        <w:t>资质证明材料</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0"/>
        <w:textAlignment w:val="auto"/>
        <w:rPr>
          <w:rFonts w:hint="default" w:eastAsia="宋体"/>
          <w:color w:val="000000"/>
          <w:kern w:val="0"/>
          <w:sz w:val="24"/>
          <w:szCs w:val="24"/>
          <w:lang w:val="en-US" w:eastAsia="zh-CN"/>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r>
        <w:rPr>
          <w:rFonts w:hint="eastAsia"/>
          <w:color w:val="000000"/>
          <w:kern w:val="0"/>
          <w:sz w:val="24"/>
          <w:szCs w:val="24"/>
          <w:lang w:val="en-US" w:eastAsia="zh-CN"/>
        </w:rPr>
        <w:t>个体工商户投标，参照执行。</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0"/>
        <w:textAlignment w:val="auto"/>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0"/>
        <w:textAlignment w:val="auto"/>
        <w:rPr>
          <w:color w:val="000000"/>
          <w:kern w:val="0"/>
          <w:sz w:val="24"/>
          <w:szCs w:val="24"/>
        </w:rPr>
      </w:pPr>
      <w:r>
        <w:rPr>
          <w:color w:val="000000"/>
          <w:kern w:val="0"/>
          <w:sz w:val="24"/>
          <w:szCs w:val="24"/>
        </w:rPr>
        <w:t>3.3</w:t>
      </w:r>
      <w:r>
        <w:rPr>
          <w:rFonts w:hint="eastAsia"/>
          <w:color w:val="000000"/>
          <w:kern w:val="0"/>
          <w:sz w:val="24"/>
          <w:szCs w:val="24"/>
        </w:rPr>
        <w:t>非生产商投标须提供经销商、代理商资格证明材料（并加盖投标人公章）。</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0"/>
        <w:textAlignment w:val="auto"/>
        <w:rPr>
          <w:rFonts w:hint="eastAsia"/>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0"/>
        <w:textAlignment w:val="auto"/>
        <w:rPr>
          <w:rFonts w:ascii="宋体" w:hAnsi="宋体"/>
          <w:sz w:val="24"/>
          <w:szCs w:val="24"/>
        </w:rPr>
      </w:pPr>
      <w:r>
        <w:rPr>
          <w:rFonts w:ascii="宋体" w:hAnsi="宋体"/>
          <w:sz w:val="24"/>
          <w:szCs w:val="24"/>
        </w:rPr>
        <w:t>3.</w:t>
      </w:r>
      <w:r>
        <w:rPr>
          <w:rFonts w:hint="eastAsia" w:ascii="宋体" w:hAnsi="宋体"/>
          <w:sz w:val="24"/>
          <w:szCs w:val="24"/>
          <w:lang w:val="en-US" w:eastAsia="zh-CN"/>
        </w:rPr>
        <w:t>5</w:t>
      </w:r>
      <w:r>
        <w:rPr>
          <w:rFonts w:hint="eastAsia"/>
          <w:sz w:val="24"/>
          <w:szCs w:val="22"/>
        </w:rPr>
        <w:t>提供</w:t>
      </w:r>
      <w:r>
        <w:rPr>
          <w:rFonts w:hint="eastAsia"/>
          <w:sz w:val="24"/>
          <w:szCs w:val="22"/>
          <w:lang w:val="en-US" w:eastAsia="zh-CN"/>
        </w:rPr>
        <w:t>所投产品</w:t>
      </w:r>
      <w:r>
        <w:rPr>
          <w:rFonts w:hint="eastAsia"/>
          <w:sz w:val="24"/>
          <w:szCs w:val="22"/>
        </w:rPr>
        <w:t>近三年来有资质的国家检测机构出具的合格检测报告</w:t>
      </w:r>
    </w:p>
    <w:p>
      <w:pPr>
        <w:keepNext w:val="0"/>
        <w:keepLines w:val="0"/>
        <w:pageBreakBefore w:val="0"/>
        <w:kinsoku/>
        <w:overflowPunct/>
        <w:topLinePunct w:val="0"/>
        <w:autoSpaceDE/>
        <w:autoSpaceDN/>
        <w:bidi w:val="0"/>
        <w:adjustRightInd/>
        <w:snapToGrid/>
        <w:spacing w:after="0" w:line="360" w:lineRule="auto"/>
        <w:ind w:firstLine="470" w:firstLineChars="196"/>
        <w:textAlignment w:val="auto"/>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color w:val="000000"/>
          <w:kern w:val="0"/>
          <w:sz w:val="24"/>
          <w:szCs w:val="24"/>
        </w:rPr>
      </w:pPr>
      <w:r>
        <w:rPr>
          <w:color w:val="000000"/>
          <w:kern w:val="0"/>
          <w:sz w:val="24"/>
          <w:szCs w:val="24"/>
        </w:rPr>
        <w:t>5.</w:t>
      </w:r>
      <w:r>
        <w:rPr>
          <w:rFonts w:hint="eastAsia"/>
          <w:color w:val="000000"/>
          <w:kern w:val="0"/>
          <w:sz w:val="24"/>
          <w:szCs w:val="24"/>
        </w:rPr>
        <w:t>售后服务承诺</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0"/>
        <w:jc w:val="left"/>
        <w:textAlignment w:val="auto"/>
        <w:rPr>
          <w:rFonts w:ascii="宋体" w:hAnsi="宋体" w:cs="宋体"/>
          <w:color w:val="000000"/>
          <w:kern w:val="0"/>
          <w:sz w:val="24"/>
          <w:szCs w:val="24"/>
        </w:rPr>
      </w:pPr>
      <w:r>
        <w:rPr>
          <w:rFonts w:ascii="宋体" w:hAnsi="宋体" w:cs="宋体"/>
          <w:color w:val="000000"/>
          <w:kern w:val="0"/>
          <w:sz w:val="24"/>
          <w:szCs w:val="24"/>
        </w:rPr>
        <w:t>7.</w:t>
      </w:r>
      <w:r>
        <w:rPr>
          <w:rFonts w:hint="eastAsia" w:ascii="宋体" w:hAnsi="宋体" w:cs="宋体"/>
          <w:kern w:val="0"/>
          <w:sz w:val="24"/>
          <w:szCs w:val="24"/>
        </w:rPr>
        <w:t>投标人</w:t>
      </w:r>
      <w:r>
        <w:rPr>
          <w:rFonts w:ascii="宋体" w:hAnsi="宋体" w:cs="宋体"/>
          <w:kern w:val="0"/>
          <w:sz w:val="24"/>
          <w:szCs w:val="24"/>
        </w:rPr>
        <w:t>2016</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月以来签订实施的</w:t>
      </w:r>
      <w:r>
        <w:rPr>
          <w:rFonts w:hint="eastAsia" w:ascii="宋体" w:hAnsi="宋体" w:cs="宋体"/>
          <w:kern w:val="0"/>
          <w:sz w:val="24"/>
          <w:szCs w:val="24"/>
          <w:lang w:val="en-US" w:eastAsia="zh-CN"/>
        </w:rPr>
        <w:t>相关</w:t>
      </w:r>
      <w:r>
        <w:rPr>
          <w:rFonts w:hint="eastAsia" w:ascii="宋体" w:hAnsi="宋体" w:cs="宋体"/>
          <w:kern w:val="0"/>
          <w:sz w:val="24"/>
          <w:szCs w:val="24"/>
        </w:rPr>
        <w:t>销售安装业绩</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见第四章）</w:t>
      </w:r>
      <w:r>
        <w:rPr>
          <w:rFonts w:hint="eastAsia" w:ascii="宋体" w:hAnsi="宋体" w:cs="宋体"/>
          <w:kern w:val="0"/>
          <w:sz w:val="24"/>
          <w:szCs w:val="24"/>
        </w:rPr>
        <w:t>（</w:t>
      </w:r>
      <w:r>
        <w:rPr>
          <w:rFonts w:hint="eastAsia" w:ascii="宋体" w:hAnsi="宋体" w:cs="宋体"/>
          <w:kern w:val="0"/>
          <w:sz w:val="24"/>
          <w:szCs w:val="24"/>
          <w:lang w:val="en-US" w:eastAsia="zh-CN"/>
        </w:rPr>
        <w:t>附</w:t>
      </w:r>
      <w:r>
        <w:rPr>
          <w:rFonts w:hint="eastAsia" w:ascii="宋体" w:hAnsi="宋体" w:cs="宋体"/>
          <w:kern w:val="0"/>
          <w:sz w:val="24"/>
          <w:szCs w:val="24"/>
        </w:rPr>
        <w:t>合同复印件</w:t>
      </w:r>
      <w:r>
        <w:rPr>
          <w:rFonts w:hint="eastAsia" w:ascii="宋体" w:hAnsi="宋体" w:cs="宋体"/>
          <w:kern w:val="0"/>
          <w:sz w:val="24"/>
          <w:szCs w:val="24"/>
          <w:lang w:val="en-US" w:eastAsia="zh-CN"/>
        </w:rPr>
        <w:t>并加盖单位公章，原件备查</w:t>
      </w:r>
      <w:r>
        <w:rPr>
          <w:rFonts w:hint="eastAsia" w:ascii="宋体" w:hAnsi="宋体" w:cs="宋体"/>
          <w:kern w:val="0"/>
          <w:sz w:val="24"/>
          <w:szCs w:val="24"/>
        </w:rPr>
        <w:t>）</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0"/>
        <w:jc w:val="left"/>
        <w:textAlignment w:val="auto"/>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40"/>
        <w:jc w:val="left"/>
        <w:textAlignment w:val="auto"/>
        <w:rPr>
          <w:rFonts w:ascii="宋体" w:cs="宋体"/>
          <w:kern w:val="0"/>
          <w:sz w:val="24"/>
        </w:rPr>
      </w:pPr>
      <w:r>
        <w:rPr>
          <w:rFonts w:ascii="宋体" w:hAnsi="宋体" w:cs="宋体"/>
          <w:color w:val="000000"/>
          <w:kern w:val="0"/>
          <w:sz w:val="24"/>
          <w:szCs w:val="24"/>
        </w:rPr>
        <w:t>9.</w:t>
      </w:r>
      <w:r>
        <w:rPr>
          <w:rFonts w:hint="eastAsia" w:ascii="宋体" w:hAnsi="宋体" w:cs="宋体"/>
          <w:color w:val="000000"/>
          <w:kern w:val="0"/>
          <w:sz w:val="24"/>
          <w:szCs w:val="24"/>
        </w:rPr>
        <w:t>样品：提供套装免漆复合实木门</w:t>
      </w:r>
      <w:r>
        <w:rPr>
          <w:rFonts w:hint="eastAsia" w:ascii="宋体" w:hAnsi="宋体" w:cs="宋体"/>
          <w:color w:val="000000"/>
          <w:kern w:val="0"/>
          <w:sz w:val="24"/>
          <w:szCs w:val="24"/>
          <w:lang w:val="en-US" w:eastAsia="zh-CN"/>
        </w:rPr>
        <w:t>小</w:t>
      </w:r>
      <w:r>
        <w:rPr>
          <w:rFonts w:hint="eastAsia" w:ascii="宋体" w:hAnsi="宋体" w:cs="宋体"/>
          <w:color w:val="000000"/>
          <w:kern w:val="0"/>
          <w:sz w:val="24"/>
          <w:szCs w:val="24"/>
        </w:rPr>
        <w:t>样；评标结果公布后，未中标单位</w:t>
      </w:r>
      <w:r>
        <w:rPr>
          <w:rFonts w:hint="eastAsia" w:ascii="宋体" w:hAnsi="宋体"/>
          <w:sz w:val="24"/>
        </w:rPr>
        <w:t>自行将样品带走，采购人不负责保管。</w:t>
      </w:r>
      <w:r>
        <w:rPr>
          <w:rFonts w:ascii="宋体" w:hAnsi="宋体" w:cs="宋体"/>
          <w:kern w:val="0"/>
          <w:sz w:val="24"/>
        </w:rPr>
        <w:t xml:space="preserve"> </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keepNext w:val="0"/>
        <w:keepLines w:val="0"/>
        <w:pageBreakBefore w:val="0"/>
        <w:tabs>
          <w:tab w:val="left" w:pos="2820"/>
        </w:tabs>
        <w:kinsoku/>
        <w:overflowPunct/>
        <w:topLinePunct w:val="0"/>
        <w:autoSpaceDE/>
        <w:autoSpaceDN/>
        <w:bidi w:val="0"/>
        <w:adjustRightInd/>
        <w:snapToGrid/>
        <w:spacing w:after="0" w:line="360" w:lineRule="auto"/>
        <w:ind w:firstLine="480" w:firstLineChars="200"/>
        <w:textAlignment w:val="auto"/>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keepNext w:val="0"/>
        <w:keepLines w:val="0"/>
        <w:pageBreakBefore w:val="0"/>
        <w:widowControl/>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rFonts w:hint="eastAsia"/>
          <w:bCs/>
          <w:color w:val="000000"/>
          <w:spacing w:val="15"/>
          <w:kern w:val="0"/>
          <w:sz w:val="24"/>
          <w:szCs w:val="24"/>
        </w:rPr>
        <w:t>八、投标文件递交时间、地点</w:t>
      </w:r>
    </w:p>
    <w:p>
      <w:pPr>
        <w:keepNext w:val="0"/>
        <w:keepLines w:val="0"/>
        <w:pageBreakBefore w:val="0"/>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keepNext w:val="0"/>
        <w:keepLines w:val="0"/>
        <w:pageBreakBefore w:val="0"/>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rFonts w:hint="eastAsia" w:ascii="宋体" w:hAnsi="宋体" w:cs="Arial"/>
          <w:color w:val="000000"/>
          <w:spacing w:val="15"/>
          <w:kern w:val="0"/>
          <w:sz w:val="24"/>
          <w:szCs w:val="24"/>
        </w:rPr>
        <w:t>2019年</w:t>
      </w:r>
      <w:r>
        <w:rPr>
          <w:rFonts w:hint="eastAsia" w:ascii="宋体" w:hAnsi="宋体"/>
          <w:sz w:val="24"/>
          <w:szCs w:val="24"/>
        </w:rPr>
        <w:t>7月</w:t>
      </w:r>
      <w:r>
        <w:rPr>
          <w:rFonts w:hint="eastAsia" w:ascii="宋体" w:hAnsi="宋体"/>
          <w:sz w:val="24"/>
          <w:szCs w:val="24"/>
          <w:lang w:val="en-US" w:eastAsia="zh-CN"/>
        </w:rPr>
        <w:t>24</w:t>
      </w:r>
      <w:r>
        <w:rPr>
          <w:rFonts w:hint="eastAsia" w:ascii="宋体" w:hAnsi="宋体"/>
          <w:sz w:val="24"/>
          <w:szCs w:val="24"/>
        </w:rPr>
        <w:t>日</w:t>
      </w:r>
      <w:r>
        <w:rPr>
          <w:rFonts w:hint="eastAsia" w:ascii="宋体" w:hAnsi="宋体" w:cs="Arial"/>
          <w:color w:val="000000"/>
          <w:spacing w:val="15"/>
          <w:kern w:val="0"/>
          <w:sz w:val="24"/>
          <w:szCs w:val="24"/>
        </w:rPr>
        <w:t>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rFonts w:ascii="宋体"/>
          <w:sz w:val="24"/>
          <w:szCs w:val="24"/>
        </w:rPr>
      </w:pPr>
      <w:r>
        <w:rPr>
          <w:rFonts w:ascii="宋体" w:hAnsi="宋体"/>
          <w:sz w:val="24"/>
          <w:szCs w:val="24"/>
        </w:rPr>
        <w:t>2.</w:t>
      </w:r>
      <w:r>
        <w:rPr>
          <w:rFonts w:hint="eastAsia" w:ascii="宋体" w:hAnsi="宋体"/>
          <w:sz w:val="24"/>
          <w:szCs w:val="24"/>
        </w:rPr>
        <w:t>投标文件接收地点</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keepNext w:val="0"/>
        <w:keepLines w:val="0"/>
        <w:pageBreakBefore w:val="0"/>
        <w:kinsoku/>
        <w:overflowPunct/>
        <w:topLinePunct w:val="0"/>
        <w:autoSpaceDE/>
        <w:autoSpaceDN/>
        <w:bidi w:val="0"/>
        <w:adjustRightInd/>
        <w:snapToGrid/>
        <w:spacing w:after="0" w:line="360" w:lineRule="auto"/>
        <w:ind w:firstLine="540" w:firstLineChars="200"/>
        <w:textAlignment w:val="auto"/>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keepNext w:val="0"/>
        <w:keepLines w:val="0"/>
        <w:pageBreakBefore w:val="0"/>
        <w:kinsoku/>
        <w:overflowPunct/>
        <w:topLinePunct w:val="0"/>
        <w:autoSpaceDE/>
        <w:autoSpaceDN/>
        <w:bidi w:val="0"/>
        <w:adjustRightInd/>
        <w:snapToGrid/>
        <w:spacing w:after="0" w:line="360" w:lineRule="auto"/>
        <w:ind w:firstLine="480" w:firstLineChars="200"/>
        <w:textAlignment w:val="auto"/>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keepNext w:val="0"/>
        <w:keepLines w:val="0"/>
        <w:pageBreakBefore w:val="0"/>
        <w:tabs>
          <w:tab w:val="left" w:pos="2820"/>
        </w:tabs>
        <w:kinsoku/>
        <w:overflowPunct/>
        <w:topLinePunct w:val="0"/>
        <w:autoSpaceDE/>
        <w:autoSpaceDN/>
        <w:bidi w:val="0"/>
        <w:adjustRightInd/>
        <w:snapToGrid/>
        <w:spacing w:after="0" w:line="360" w:lineRule="auto"/>
        <w:ind w:firstLine="540" w:firstLineChars="200"/>
        <w:textAlignment w:val="auto"/>
        <w:rPr>
          <w:rFonts w:ascii="宋体" w:cs="Arial"/>
          <w:color w:val="000000"/>
          <w:spacing w:val="15"/>
          <w:kern w:val="0"/>
          <w:sz w:val="24"/>
        </w:rPr>
      </w:pPr>
      <w:r>
        <w:rPr>
          <w:rFonts w:hint="eastAsia" w:ascii="宋体" w:hAnsi="宋体" w:cs="Arial"/>
          <w:bCs/>
          <w:color w:val="000000"/>
          <w:spacing w:val="15"/>
          <w:kern w:val="0"/>
          <w:sz w:val="24"/>
        </w:rPr>
        <w:t>九、开标时间及地点</w:t>
      </w:r>
    </w:p>
    <w:p>
      <w:pPr>
        <w:keepNext w:val="0"/>
        <w:keepLines w:val="0"/>
        <w:pageBreakBefore w:val="0"/>
        <w:widowControl/>
        <w:kinsoku/>
        <w:overflowPunct/>
        <w:topLinePunct w:val="0"/>
        <w:autoSpaceDE/>
        <w:autoSpaceDN/>
        <w:bidi w:val="0"/>
        <w:adjustRightInd/>
        <w:snapToGrid/>
        <w:spacing w:after="0" w:line="360" w:lineRule="auto"/>
        <w:ind w:firstLine="540" w:firstLineChars="200"/>
        <w:jc w:val="left"/>
        <w:textAlignment w:val="auto"/>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hint="eastAsia" w:ascii="宋体" w:hAnsi="宋体" w:cs="Arial"/>
          <w:color w:val="000000"/>
          <w:spacing w:val="15"/>
          <w:kern w:val="0"/>
          <w:sz w:val="24"/>
          <w:szCs w:val="24"/>
        </w:rPr>
        <w:t>2019年</w:t>
      </w:r>
      <w:r>
        <w:rPr>
          <w:rFonts w:hint="eastAsia" w:ascii="Arial" w:hAnsi="Arial" w:cs="Arial"/>
          <w:color w:val="000000"/>
          <w:kern w:val="0"/>
          <w:sz w:val="24"/>
          <w:szCs w:val="24"/>
        </w:rPr>
        <w:t>7月</w:t>
      </w:r>
      <w:r>
        <w:rPr>
          <w:rFonts w:hint="eastAsia" w:ascii="Arial" w:hAnsi="Arial" w:cs="Arial"/>
          <w:color w:val="000000"/>
          <w:kern w:val="0"/>
          <w:sz w:val="24"/>
          <w:szCs w:val="24"/>
          <w:lang w:val="en-US" w:eastAsia="zh-CN"/>
        </w:rPr>
        <w:t>24</w:t>
      </w:r>
      <w:r>
        <w:rPr>
          <w:rFonts w:hint="eastAsia" w:ascii="宋体" w:hAnsi="宋体" w:cs="Arial"/>
          <w:color w:val="000000"/>
          <w:spacing w:val="15"/>
          <w:kern w:val="0"/>
          <w:sz w:val="24"/>
          <w:szCs w:val="24"/>
        </w:rPr>
        <w:t>日下午（投标结束确定具体时间）</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keepNext w:val="0"/>
        <w:keepLines w:val="0"/>
        <w:pageBreakBefore w:val="0"/>
        <w:widowControl/>
        <w:kinsoku/>
        <w:overflowPunct/>
        <w:topLinePunct w:val="0"/>
        <w:autoSpaceDE/>
        <w:autoSpaceDN/>
        <w:bidi w:val="0"/>
        <w:adjustRightInd/>
        <w:snapToGrid/>
        <w:spacing w:after="0" w:line="360" w:lineRule="auto"/>
        <w:ind w:firstLine="540" w:firstLineChars="200"/>
        <w:jc w:val="left"/>
        <w:textAlignment w:val="auto"/>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keepNext w:val="0"/>
        <w:keepLines w:val="0"/>
        <w:pageBreakBefore w:val="0"/>
        <w:widowControl/>
        <w:kinsoku/>
        <w:overflowPunct/>
        <w:topLinePunct w:val="0"/>
        <w:autoSpaceDE/>
        <w:autoSpaceDN/>
        <w:bidi w:val="0"/>
        <w:adjustRightInd/>
        <w:snapToGrid/>
        <w:spacing w:after="0" w:line="360" w:lineRule="auto"/>
        <w:ind w:firstLine="540" w:firstLineChars="200"/>
        <w:jc w:val="left"/>
        <w:textAlignment w:val="auto"/>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keepNext w:val="0"/>
        <w:keepLines w:val="0"/>
        <w:pageBreakBefore w:val="0"/>
        <w:widowControl/>
        <w:shd w:val="clear" w:color="auto" w:fill="FFFFFF"/>
        <w:kinsoku/>
        <w:overflowPunct/>
        <w:topLinePunct w:val="0"/>
        <w:autoSpaceDE/>
        <w:autoSpaceDN/>
        <w:bidi w:val="0"/>
        <w:adjustRightInd/>
        <w:snapToGrid/>
        <w:spacing w:after="0" w:line="360" w:lineRule="auto"/>
        <w:ind w:firstLine="461" w:firstLineChars="171"/>
        <w:textAlignment w:val="auto"/>
        <w:rPr>
          <w:color w:val="000000"/>
          <w:kern w:val="0"/>
          <w:sz w:val="24"/>
        </w:rPr>
      </w:pPr>
      <w:r>
        <w:rPr>
          <w:rFonts w:hint="eastAsia"/>
          <w:color w:val="000000"/>
          <w:spacing w:val="15"/>
          <w:kern w:val="0"/>
          <w:sz w:val="24"/>
        </w:rPr>
        <w:t>十</w:t>
      </w:r>
      <w:r>
        <w:rPr>
          <w:rFonts w:hint="eastAsia"/>
          <w:color w:val="000000"/>
          <w:kern w:val="0"/>
          <w:sz w:val="24"/>
        </w:rPr>
        <w:t>、评标办法</w:t>
      </w:r>
    </w:p>
    <w:p>
      <w:pPr>
        <w:keepNext w:val="0"/>
        <w:keepLines w:val="0"/>
        <w:pageBreakBefore w:val="0"/>
        <w:widowControl/>
        <w:kinsoku/>
        <w:overflowPunct/>
        <w:topLinePunct w:val="0"/>
        <w:autoSpaceDE/>
        <w:autoSpaceDN/>
        <w:bidi w:val="0"/>
        <w:adjustRightInd/>
        <w:snapToGrid/>
        <w:spacing w:after="0" w:line="360" w:lineRule="auto"/>
        <w:ind w:firstLine="480" w:firstLineChars="200"/>
        <w:textAlignment w:val="auto"/>
        <w:rPr>
          <w:rFonts w:ascii="Arial" w:hAnsi="Arial" w:cs="Arial"/>
          <w:color w:val="000000"/>
          <w:kern w:val="0"/>
          <w:sz w:val="24"/>
          <w:szCs w:val="24"/>
        </w:rPr>
      </w:pPr>
      <w:r>
        <w:rPr>
          <w:rFonts w:ascii="Arial" w:hAnsi="Arial" w:cs="Arial"/>
          <w:color w:val="000000"/>
          <w:kern w:val="0"/>
          <w:sz w:val="24"/>
          <w:szCs w:val="24"/>
        </w:rPr>
        <w:t>1.</w:t>
      </w: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w:t>
      </w:r>
      <w:r>
        <w:rPr>
          <w:rFonts w:hint="eastAsia"/>
          <w:color w:val="000000"/>
          <w:kern w:val="0"/>
          <w:sz w:val="24"/>
          <w:szCs w:val="24"/>
        </w:rPr>
        <w:t>按评审后得分由高到低顺序排列。得分相同的，按投标报价由低到高顺序排列；得分且投标报价相同的，按技术指标</w:t>
      </w:r>
      <w:r>
        <w:rPr>
          <w:rFonts w:hint="eastAsia"/>
          <w:color w:val="000000"/>
          <w:kern w:val="0"/>
          <w:sz w:val="24"/>
          <w:szCs w:val="24"/>
          <w:lang w:val="en-US" w:eastAsia="zh-CN"/>
        </w:rPr>
        <w:t>得分</w:t>
      </w:r>
      <w:r>
        <w:rPr>
          <w:rFonts w:hint="eastAsia"/>
          <w:color w:val="000000"/>
          <w:kern w:val="0"/>
          <w:sz w:val="24"/>
          <w:szCs w:val="24"/>
        </w:rPr>
        <w:t>顺序排列</w:t>
      </w:r>
      <w:r>
        <w:rPr>
          <w:rFonts w:hint="eastAsia"/>
          <w:color w:val="000000"/>
          <w:kern w:val="0"/>
          <w:sz w:val="24"/>
          <w:szCs w:val="24"/>
          <w:lang w:eastAsia="zh-CN"/>
        </w:rPr>
        <w:t>；</w:t>
      </w:r>
      <w:r>
        <w:rPr>
          <w:rFonts w:hint="eastAsia" w:ascii="Arial" w:hAnsi="Arial" w:cs="Arial"/>
          <w:color w:val="000000"/>
          <w:kern w:val="0"/>
          <w:sz w:val="24"/>
          <w:szCs w:val="24"/>
        </w:rPr>
        <w:t>评审得分、投标报价、技术指标得分相同</w:t>
      </w:r>
      <w:r>
        <w:rPr>
          <w:rFonts w:hint="eastAsia" w:ascii="Arial" w:hAnsi="Arial" w:cs="Arial"/>
          <w:color w:val="000000"/>
          <w:kern w:val="0"/>
          <w:sz w:val="24"/>
          <w:szCs w:val="24"/>
          <w:lang w:val="en-US" w:eastAsia="zh-CN"/>
        </w:rPr>
        <w:t>的</w:t>
      </w:r>
      <w:r>
        <w:rPr>
          <w:rFonts w:hint="eastAsia" w:ascii="Arial" w:hAnsi="Arial" w:cs="Arial"/>
          <w:color w:val="000000"/>
          <w:kern w:val="0"/>
          <w:sz w:val="24"/>
          <w:szCs w:val="24"/>
        </w:rPr>
        <w:t>，由相应投标人抽签决定顺序排列；</w:t>
      </w:r>
      <w:r>
        <w:rPr>
          <w:rFonts w:hint="eastAsia"/>
          <w:color w:val="000000"/>
          <w:kern w:val="0"/>
          <w:sz w:val="24"/>
          <w:szCs w:val="24"/>
        </w:rPr>
        <w:t>投标文件满足招标文件全部实质性要求，且按照评审因素的量化指标评审得分最高的投标人为排名第一的中标候选人。</w:t>
      </w:r>
    </w:p>
    <w:p>
      <w:pPr>
        <w:keepNext w:val="0"/>
        <w:keepLines w:val="0"/>
        <w:pageBreakBefore w:val="0"/>
        <w:widowControl/>
        <w:kinsoku/>
        <w:overflowPunct/>
        <w:topLinePunct w:val="0"/>
        <w:autoSpaceDE/>
        <w:autoSpaceDN/>
        <w:bidi w:val="0"/>
        <w:adjustRightInd/>
        <w:snapToGrid/>
        <w:spacing w:after="0" w:line="360" w:lineRule="auto"/>
        <w:ind w:firstLine="480" w:firstLineChars="200"/>
        <w:textAlignment w:val="auto"/>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jc w:val="center"/>
        <w:rPr>
          <w:rFonts w:ascii="宋体"/>
          <w:color w:val="000000"/>
          <w:sz w:val="24"/>
        </w:rPr>
      </w:pPr>
      <w:r>
        <w:rPr>
          <w:rFonts w:hint="eastAsia" w:ascii="宋体" w:hAnsi="宋体"/>
          <w:color w:val="000000"/>
          <w:sz w:val="24"/>
        </w:rPr>
        <w:t>评分标准</w:t>
      </w:r>
    </w:p>
    <w:tbl>
      <w:tblPr>
        <w:tblStyle w:val="12"/>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6225"/>
        <w:gridCol w:w="70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684"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分数</w:t>
            </w:r>
          </w:p>
        </w:tc>
        <w:tc>
          <w:tcPr>
            <w:tcW w:w="6225" w:type="dxa"/>
            <w:tcBorders>
              <w:top w:val="single" w:color="000000" w:sz="4" w:space="0"/>
            </w:tcBorders>
            <w:vAlign w:val="center"/>
          </w:tcPr>
          <w:p>
            <w:pPr>
              <w:snapToGrid w:val="0"/>
              <w:jc w:val="center"/>
              <w:rPr>
                <w:rFonts w:ascii="宋体" w:cs="宋体"/>
                <w:color w:val="000000"/>
                <w:kern w:val="0"/>
                <w:szCs w:val="21"/>
              </w:rPr>
            </w:pPr>
            <w:r>
              <w:rPr>
                <w:rFonts w:hint="eastAsia" w:ascii="宋体" w:hAnsi="宋体" w:cs="宋体"/>
                <w:color w:val="000000"/>
                <w:kern w:val="0"/>
                <w:szCs w:val="21"/>
              </w:rPr>
              <w:t>评分标准</w:t>
            </w:r>
          </w:p>
        </w:tc>
        <w:tc>
          <w:tcPr>
            <w:tcW w:w="700"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01" w:hRule="atLeast"/>
          <w:jc w:val="center"/>
        </w:trPr>
        <w:tc>
          <w:tcPr>
            <w:tcW w:w="1271" w:type="dxa"/>
            <w:vAlign w:val="center"/>
          </w:tcPr>
          <w:p>
            <w:pPr>
              <w:rPr>
                <w:rFonts w:ascii="宋体" w:cs="宋体"/>
                <w:b/>
                <w:color w:val="000000"/>
                <w:kern w:val="0"/>
                <w:szCs w:val="21"/>
              </w:rPr>
            </w:pPr>
            <w:r>
              <w:rPr>
                <w:rFonts w:hint="eastAsia" w:ascii="宋体" w:hAnsi="宋体" w:cs="宋体"/>
                <w:b/>
                <w:color w:val="000000"/>
                <w:kern w:val="0"/>
                <w:szCs w:val="21"/>
              </w:rPr>
              <w:t>投标报价（45分）</w:t>
            </w:r>
          </w:p>
        </w:tc>
        <w:tc>
          <w:tcPr>
            <w:tcW w:w="684" w:type="dxa"/>
            <w:vAlign w:val="center"/>
          </w:tcPr>
          <w:p>
            <w:pPr>
              <w:jc w:val="center"/>
              <w:rPr>
                <w:rFonts w:ascii="宋体" w:cs="宋体"/>
                <w:color w:val="000000"/>
                <w:kern w:val="0"/>
                <w:szCs w:val="21"/>
              </w:rPr>
            </w:pPr>
            <w:r>
              <w:rPr>
                <w:rFonts w:hint="eastAsia" w:ascii="宋体" w:hAnsi="宋体" w:cs="宋体"/>
                <w:color w:val="000000"/>
                <w:kern w:val="0"/>
                <w:szCs w:val="21"/>
              </w:rPr>
              <w:t>45</w:t>
            </w:r>
          </w:p>
        </w:tc>
        <w:tc>
          <w:tcPr>
            <w:tcW w:w="62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cs="宋体"/>
                <w:color w:val="000000"/>
                <w:kern w:val="0"/>
                <w:szCs w:val="21"/>
              </w:rPr>
            </w:pPr>
            <w:r>
              <w:rPr>
                <w:rFonts w:hint="eastAsia" w:ascii="宋体" w:hAnsi="宋体" w:cs="宋体"/>
                <w:color w:val="000000"/>
                <w:kern w:val="0"/>
                <w:szCs w:val="21"/>
              </w:rPr>
              <w:t>以满足招标要求且投标报价最低的有效报价为评标基准价，投标报价等于基准价得45分，投标价格高于基准价的按下列公式计算：投标报价得分 = (评标基准价/投标报价)*45</w:t>
            </w:r>
          </w:p>
        </w:tc>
        <w:tc>
          <w:tcPr>
            <w:tcW w:w="700" w:type="dxa"/>
          </w:tcPr>
          <w:p>
            <w:pPr>
              <w:rPr>
                <w:rFonts w:ascii="宋体" w:cs="宋体"/>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技术指标（32分）</w:t>
            </w:r>
          </w:p>
        </w:tc>
        <w:tc>
          <w:tcPr>
            <w:tcW w:w="684" w:type="dxa"/>
            <w:vAlign w:val="center"/>
          </w:tcPr>
          <w:p>
            <w:pPr>
              <w:jc w:val="center"/>
              <w:rPr>
                <w:rFonts w:ascii="宋体" w:cs="宋体"/>
                <w:color w:val="000000"/>
                <w:kern w:val="0"/>
                <w:szCs w:val="21"/>
              </w:rPr>
            </w:pPr>
            <w:r>
              <w:rPr>
                <w:rFonts w:hint="eastAsia" w:ascii="宋体" w:hAnsi="宋体" w:cs="宋体"/>
                <w:color w:val="000000"/>
                <w:kern w:val="0"/>
                <w:szCs w:val="21"/>
              </w:rPr>
              <w:t>32</w:t>
            </w:r>
          </w:p>
        </w:tc>
        <w:tc>
          <w:tcPr>
            <w:tcW w:w="62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000000"/>
                <w:kern w:val="0"/>
                <w:szCs w:val="21"/>
              </w:rPr>
            </w:pPr>
            <w:r>
              <w:rPr>
                <w:rFonts w:hint="eastAsia" w:ascii="宋体" w:hAnsi="宋体" w:cs="宋体"/>
                <w:color w:val="000000"/>
                <w:kern w:val="0"/>
                <w:szCs w:val="21"/>
              </w:rPr>
              <w:t>投标人所投产品质量参数完全满足招标文件技术要求的得32分。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cs="宋体"/>
                <w:color w:val="000000"/>
                <w:kern w:val="0"/>
                <w:szCs w:val="21"/>
              </w:rPr>
            </w:pPr>
            <w:r>
              <w:rPr>
                <w:rFonts w:hint="eastAsia" w:ascii="宋体" w:hAnsi="宋体" w:cs="宋体"/>
                <w:color w:val="000000"/>
                <w:kern w:val="0"/>
                <w:szCs w:val="21"/>
              </w:rPr>
              <w:t>若加“★”技术指标负偏离的，作为无效标处理；未加“★”技术指标，有一项负偏离扣1分，超过5项负偏离作为无效标处理。</w:t>
            </w:r>
          </w:p>
        </w:tc>
        <w:tc>
          <w:tcPr>
            <w:tcW w:w="700"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tcPr>
          <w:p>
            <w:pPr>
              <w:snapToGrid w:val="0"/>
              <w:rPr>
                <w:rFonts w:hint="eastAsia" w:ascii="宋体" w:hAnsi="宋体" w:cs="宋体"/>
                <w:b/>
                <w:color w:val="000000"/>
                <w:kern w:val="0"/>
                <w:szCs w:val="21"/>
              </w:rPr>
            </w:pPr>
            <w:r>
              <w:rPr>
                <w:rFonts w:hint="eastAsia" w:ascii="宋体" w:hAnsi="宋体" w:cs="宋体"/>
                <w:b/>
                <w:color w:val="000000"/>
                <w:kern w:val="0"/>
                <w:szCs w:val="21"/>
              </w:rPr>
              <w:t>业绩（5分）</w:t>
            </w:r>
          </w:p>
        </w:tc>
        <w:tc>
          <w:tcPr>
            <w:tcW w:w="684" w:type="dxa"/>
          </w:tcPr>
          <w:p>
            <w:pPr>
              <w:jc w:val="center"/>
              <w:rPr>
                <w:rFonts w:hint="eastAsia" w:eastAsia="宋体"/>
                <w:lang w:eastAsia="zh-CN"/>
              </w:rPr>
            </w:pPr>
            <w:r>
              <w:rPr>
                <w:rFonts w:hint="eastAsia"/>
                <w:lang w:val="en-US" w:eastAsia="zh-CN"/>
              </w:rPr>
              <w:t>6</w:t>
            </w:r>
          </w:p>
        </w:tc>
        <w:tc>
          <w:tcPr>
            <w:tcW w:w="6225"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r>
              <w:rPr>
                <w:rFonts w:hint="eastAsia"/>
              </w:rPr>
              <w:t>提供所投产品自2016年1月以来，具有类似的产品安装案例的，单个合同在5万以上的，有1个得1分，满分为</w:t>
            </w:r>
            <w:r>
              <w:rPr>
                <w:rFonts w:hint="eastAsia"/>
                <w:lang w:val="en-US" w:eastAsia="zh-CN"/>
              </w:rPr>
              <w:t>6</w:t>
            </w:r>
            <w:r>
              <w:rPr>
                <w:rFonts w:hint="eastAsia"/>
              </w:rPr>
              <w:t>分。（须提供合同复印件加盖投标人公章，</w:t>
            </w:r>
            <w:r>
              <w:rPr>
                <w:rFonts w:hint="eastAsia"/>
                <w:lang w:val="en-US" w:eastAsia="zh-CN"/>
              </w:rPr>
              <w:t>原件备查，</w:t>
            </w:r>
            <w:r>
              <w:rPr>
                <w:rFonts w:hint="eastAsia"/>
              </w:rPr>
              <w:t>不提供不得分）。</w:t>
            </w:r>
          </w:p>
        </w:tc>
        <w:tc>
          <w:tcPr>
            <w:tcW w:w="700"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hAnsi="宋体" w:cs="宋体"/>
                <w:b/>
                <w:color w:val="000000"/>
                <w:kern w:val="0"/>
                <w:szCs w:val="21"/>
              </w:rPr>
            </w:pPr>
            <w:r>
              <w:rPr>
                <w:rFonts w:hint="eastAsia" w:ascii="宋体" w:hAnsi="宋体" w:cs="宋体"/>
                <w:b/>
                <w:color w:val="000000"/>
                <w:kern w:val="0"/>
                <w:szCs w:val="21"/>
              </w:rPr>
              <w:t>样品展示</w:t>
            </w:r>
          </w:p>
          <w:p>
            <w:pPr>
              <w:snapToGrid w:val="0"/>
              <w:rPr>
                <w:rFonts w:ascii="宋体" w:hAnsi="宋体" w:cs="宋体"/>
                <w:b/>
                <w:color w:val="000000"/>
                <w:kern w:val="0"/>
                <w:szCs w:val="21"/>
              </w:rPr>
            </w:pPr>
            <w:r>
              <w:rPr>
                <w:rFonts w:hint="eastAsia" w:ascii="宋体" w:hAnsi="宋体" w:cs="宋体"/>
                <w:b/>
                <w:color w:val="000000"/>
                <w:kern w:val="0"/>
                <w:szCs w:val="21"/>
              </w:rPr>
              <w:t>（</w:t>
            </w:r>
            <w:r>
              <w:rPr>
                <w:rFonts w:ascii="宋体" w:hAnsi="宋体" w:cs="宋体"/>
                <w:b/>
                <w:color w:val="000000"/>
                <w:kern w:val="0"/>
                <w:szCs w:val="21"/>
              </w:rPr>
              <w:t>10</w:t>
            </w:r>
            <w:r>
              <w:rPr>
                <w:rFonts w:hint="eastAsia" w:ascii="宋体" w:hAnsi="宋体" w:cs="宋体"/>
                <w:b/>
                <w:color w:val="000000"/>
                <w:kern w:val="0"/>
                <w:szCs w:val="21"/>
              </w:rPr>
              <w:t>分）</w:t>
            </w:r>
          </w:p>
        </w:tc>
        <w:tc>
          <w:tcPr>
            <w:tcW w:w="684" w:type="dxa"/>
            <w:vAlign w:val="center"/>
          </w:tcPr>
          <w:p>
            <w:pPr>
              <w:snapToGrid w:val="0"/>
              <w:spacing w:after="0" w:line="360" w:lineRule="exact"/>
              <w:jc w:val="center"/>
              <w:rPr>
                <w:rFonts w:ascii="宋体"/>
                <w:szCs w:val="21"/>
              </w:rPr>
            </w:pPr>
            <w:r>
              <w:rPr>
                <w:rFonts w:ascii="宋体" w:hAnsi="宋体"/>
                <w:szCs w:val="21"/>
              </w:rPr>
              <w:t>10</w:t>
            </w:r>
          </w:p>
        </w:tc>
        <w:tc>
          <w:tcPr>
            <w:tcW w:w="6225" w:type="dxa"/>
          </w:tcPr>
          <w:p>
            <w:pPr>
              <w:pageBreakBefore w:val="0"/>
              <w:widowControl/>
              <w:kinsoku/>
              <w:wordWrap/>
              <w:overflowPunct/>
              <w:topLinePunct w:val="0"/>
              <w:autoSpaceDE/>
              <w:autoSpaceDN/>
              <w:bidi w:val="0"/>
              <w:snapToGrid/>
              <w:spacing w:after="0" w:line="240" w:lineRule="auto"/>
              <w:jc w:val="left"/>
              <w:textAlignment w:val="auto"/>
              <w:rPr>
                <w:rFonts w:ascii="宋体" w:hAnsi="宋体"/>
                <w:szCs w:val="21"/>
              </w:rPr>
            </w:pPr>
            <w:r>
              <w:rPr>
                <w:rFonts w:hint="eastAsia" w:ascii="宋体" w:hAnsi="宋体"/>
                <w:szCs w:val="21"/>
              </w:rPr>
              <w:t>需提供套装免漆复合子母实木门成品小样（外观设计、门内布线设计、主辅材及配件质量）</w:t>
            </w:r>
            <w:r>
              <w:rPr>
                <w:rFonts w:hint="eastAsia" w:ascii="宋体" w:hAnsi="宋体"/>
                <w:szCs w:val="21"/>
                <w:lang w:eastAsia="zh-CN"/>
              </w:rPr>
              <w:t>，</w:t>
            </w:r>
            <w:r>
              <w:rPr>
                <w:rFonts w:hint="eastAsia" w:ascii="宋体" w:hAnsi="宋体"/>
                <w:szCs w:val="21"/>
                <w:lang w:val="en-US" w:eastAsia="zh-CN"/>
              </w:rPr>
              <w:t>评委根据小样情况酌情打分。</w:t>
            </w:r>
          </w:p>
          <w:p>
            <w:pPr>
              <w:pageBreakBefore w:val="0"/>
              <w:widowControl/>
              <w:kinsoku/>
              <w:wordWrap/>
              <w:overflowPunct/>
              <w:topLinePunct w:val="0"/>
              <w:autoSpaceDE/>
              <w:autoSpaceDN/>
              <w:bidi w:val="0"/>
              <w:snapToGrid/>
              <w:spacing w:after="0" w:line="240" w:lineRule="auto"/>
              <w:jc w:val="left"/>
              <w:textAlignment w:val="auto"/>
              <w:rPr>
                <w:rFonts w:ascii="宋体"/>
                <w:bCs/>
                <w:color w:val="FF0000"/>
                <w:szCs w:val="21"/>
              </w:rPr>
            </w:pPr>
            <w:r>
              <w:rPr>
                <w:rFonts w:hint="eastAsia" w:ascii="宋体" w:hAnsi="宋体"/>
                <w:szCs w:val="21"/>
              </w:rPr>
              <w:t>未提供样品或经</w:t>
            </w:r>
            <w:r>
              <w:rPr>
                <w:rFonts w:ascii="宋体" w:hAnsi="宋体"/>
                <w:szCs w:val="21"/>
              </w:rPr>
              <w:t>2/3</w:t>
            </w:r>
            <w:r>
              <w:rPr>
                <w:rFonts w:hint="eastAsia" w:ascii="宋体" w:hAnsi="宋体"/>
                <w:szCs w:val="21"/>
              </w:rPr>
              <w:t>以上评委认为样品偏差较大，则为无效投标。</w:t>
            </w:r>
          </w:p>
        </w:tc>
        <w:tc>
          <w:tcPr>
            <w:tcW w:w="700" w:type="dxa"/>
          </w:tcPr>
          <w:p>
            <w:pPr>
              <w:pageBreakBefore w:val="0"/>
              <w:widowControl/>
              <w:kinsoku/>
              <w:wordWrap/>
              <w:overflowPunct/>
              <w:topLinePunct w:val="0"/>
              <w:autoSpaceDE/>
              <w:autoSpaceDN/>
              <w:bidi w:val="0"/>
              <w:snapToGrid/>
              <w:spacing w:line="240" w:lineRule="auto"/>
              <w:textAlignment w:val="auto"/>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hAnsi="宋体" w:cs="宋体"/>
                <w:b/>
                <w:color w:val="000000"/>
                <w:kern w:val="0"/>
                <w:szCs w:val="21"/>
              </w:rPr>
            </w:pPr>
            <w:r>
              <w:rPr>
                <w:rFonts w:hint="eastAsia" w:ascii="宋体" w:hAnsi="宋体" w:cs="宋体"/>
                <w:b/>
                <w:color w:val="000000"/>
                <w:kern w:val="0"/>
                <w:szCs w:val="21"/>
              </w:rPr>
              <w:t>售后服务</w:t>
            </w:r>
          </w:p>
          <w:p>
            <w:pPr>
              <w:snapToGrid w:val="0"/>
              <w:rPr>
                <w:rFonts w:ascii="宋体" w:hAnsi="宋体" w:cs="宋体"/>
                <w:b/>
                <w:color w:val="000000"/>
                <w:kern w:val="0"/>
                <w:szCs w:val="21"/>
              </w:rPr>
            </w:pPr>
            <w:r>
              <w:rPr>
                <w:rFonts w:hint="eastAsia" w:ascii="宋体" w:hAnsi="宋体" w:cs="宋体"/>
                <w:b/>
                <w:color w:val="000000"/>
                <w:kern w:val="0"/>
                <w:szCs w:val="21"/>
              </w:rPr>
              <w:t>（</w:t>
            </w:r>
            <w:r>
              <w:rPr>
                <w:rFonts w:ascii="宋体" w:hAnsi="宋体" w:cs="宋体"/>
                <w:b/>
                <w:color w:val="000000"/>
                <w:kern w:val="0"/>
                <w:szCs w:val="21"/>
              </w:rPr>
              <w:t>8</w:t>
            </w:r>
            <w:r>
              <w:rPr>
                <w:rFonts w:hint="eastAsia" w:ascii="宋体" w:hAnsi="宋体" w:cs="宋体"/>
                <w:b/>
                <w:color w:val="000000"/>
                <w:kern w:val="0"/>
                <w:szCs w:val="21"/>
              </w:rPr>
              <w:t>分）</w:t>
            </w:r>
          </w:p>
        </w:tc>
        <w:tc>
          <w:tcPr>
            <w:tcW w:w="684" w:type="dxa"/>
            <w:vAlign w:val="center"/>
          </w:tcPr>
          <w:p>
            <w:pPr>
              <w:snapToGrid w:val="0"/>
              <w:spacing w:after="0" w:line="360" w:lineRule="exact"/>
              <w:jc w:val="center"/>
              <w:rPr>
                <w:rFonts w:hint="eastAsia" w:ascii="宋体" w:eastAsia="宋体"/>
                <w:szCs w:val="21"/>
                <w:lang w:eastAsia="zh-CN"/>
              </w:rPr>
            </w:pPr>
            <w:r>
              <w:rPr>
                <w:rFonts w:hint="eastAsia" w:ascii="宋体" w:hAnsi="宋体"/>
                <w:szCs w:val="21"/>
                <w:lang w:val="en-US" w:eastAsia="zh-CN"/>
              </w:rPr>
              <w:t>7</w:t>
            </w:r>
          </w:p>
        </w:tc>
        <w:tc>
          <w:tcPr>
            <w:tcW w:w="6225" w:type="dxa"/>
          </w:tcPr>
          <w:p>
            <w:pPr>
              <w:spacing w:after="0" w:line="360" w:lineRule="exact"/>
              <w:rPr>
                <w:rFonts w:ascii="宋体" w:cs="宋体"/>
                <w:kern w:val="0"/>
              </w:rPr>
            </w:pPr>
            <w:r>
              <w:rPr>
                <w:rFonts w:hint="eastAsia" w:ascii="宋体" w:hAnsi="宋体" w:cs="宋体"/>
                <w:kern w:val="0"/>
              </w:rPr>
              <w:t>（1）免费质保为</w:t>
            </w:r>
            <w:r>
              <w:rPr>
                <w:rFonts w:hint="eastAsia" w:ascii="宋体" w:hAnsi="宋体" w:cs="宋体"/>
                <w:kern w:val="0"/>
                <w:lang w:val="en-US" w:eastAsia="zh-CN"/>
              </w:rPr>
              <w:t>两</w:t>
            </w:r>
            <w:r>
              <w:rPr>
                <w:rFonts w:hint="eastAsia" w:ascii="宋体" w:hAnsi="宋体" w:cs="宋体"/>
                <w:kern w:val="0"/>
              </w:rPr>
              <w:t>年（不足</w:t>
            </w:r>
            <w:r>
              <w:rPr>
                <w:rFonts w:hint="eastAsia" w:ascii="宋体" w:hAnsi="宋体" w:cs="宋体"/>
                <w:kern w:val="0"/>
                <w:lang w:val="en-US" w:eastAsia="zh-CN"/>
              </w:rPr>
              <w:t>两</w:t>
            </w:r>
            <w:r>
              <w:rPr>
                <w:rFonts w:hint="eastAsia" w:ascii="宋体" w:hAnsi="宋体" w:cs="宋体"/>
                <w:kern w:val="0"/>
              </w:rPr>
              <w:t>年废标），在此基础上每超出一年加</w:t>
            </w:r>
            <w:r>
              <w:rPr>
                <w:rFonts w:ascii="宋体" w:hAnsi="宋体" w:cs="宋体"/>
                <w:kern w:val="0"/>
              </w:rPr>
              <w:t>1</w:t>
            </w:r>
            <w:r>
              <w:rPr>
                <w:rFonts w:hint="eastAsia" w:ascii="宋体" w:hAnsi="宋体" w:cs="宋体"/>
                <w:kern w:val="0"/>
              </w:rPr>
              <w:t>分，最多加4分；</w:t>
            </w:r>
          </w:p>
          <w:p>
            <w:pPr>
              <w:spacing w:after="0" w:line="360" w:lineRule="exact"/>
              <w:ind w:right="-73"/>
              <w:rPr>
                <w:rFonts w:hint="default" w:ascii="宋体" w:eastAsia="宋体" w:cs="宋体"/>
                <w:kern w:val="0"/>
                <w:szCs w:val="21"/>
                <w:lang w:val="en-US" w:eastAsia="zh-CN"/>
              </w:rPr>
            </w:pPr>
            <w:r>
              <w:rPr>
                <w:rFonts w:hint="eastAsia" w:ascii="宋体" w:hAnsi="宋体" w:cs="宋体"/>
                <w:kern w:val="0"/>
              </w:rPr>
              <w:t>（2）根据服务承诺等情况打分，优秀得</w:t>
            </w:r>
            <w:r>
              <w:rPr>
                <w:rFonts w:hint="eastAsia" w:ascii="宋体" w:hAnsi="宋体" w:cs="宋体"/>
                <w:kern w:val="0"/>
                <w:lang w:val="en-US" w:eastAsia="zh-CN"/>
              </w:rPr>
              <w:t>3</w:t>
            </w:r>
            <w:r>
              <w:rPr>
                <w:rFonts w:hint="eastAsia" w:ascii="宋体" w:hAnsi="宋体" w:cs="宋体"/>
                <w:kern w:val="0"/>
              </w:rPr>
              <w:t>分，良好得</w:t>
            </w:r>
            <w:r>
              <w:rPr>
                <w:rFonts w:ascii="宋体" w:hAnsi="宋体" w:cs="宋体"/>
                <w:kern w:val="0"/>
              </w:rPr>
              <w:t>2</w:t>
            </w:r>
            <w:r>
              <w:rPr>
                <w:rFonts w:hint="eastAsia" w:ascii="宋体" w:hAnsi="宋体" w:cs="宋体"/>
                <w:kern w:val="0"/>
              </w:rPr>
              <w:t>分，一般得</w:t>
            </w:r>
            <w:r>
              <w:rPr>
                <w:rFonts w:ascii="宋体" w:cs="宋体"/>
                <w:kern w:val="0"/>
              </w:rPr>
              <w:t>1</w:t>
            </w:r>
            <w:r>
              <w:rPr>
                <w:rFonts w:hint="eastAsia" w:ascii="宋体" w:hAnsi="宋体" w:cs="宋体"/>
                <w:kern w:val="0"/>
              </w:rPr>
              <w:t>分</w:t>
            </w:r>
            <w:r>
              <w:rPr>
                <w:rFonts w:hint="eastAsia" w:ascii="宋体" w:hAnsi="宋体" w:cs="宋体"/>
                <w:kern w:val="0"/>
                <w:lang w:eastAsia="zh-CN"/>
              </w:rPr>
              <w:t>，</w:t>
            </w:r>
            <w:r>
              <w:rPr>
                <w:rFonts w:hint="eastAsia" w:ascii="宋体" w:hAnsi="宋体" w:cs="宋体"/>
                <w:kern w:val="0"/>
                <w:lang w:val="en-US" w:eastAsia="zh-CN"/>
              </w:rPr>
              <w:t>未提供承诺不得分。</w:t>
            </w:r>
          </w:p>
        </w:tc>
        <w:tc>
          <w:tcPr>
            <w:tcW w:w="700"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color w:val="000000"/>
                <w:kern w:val="0"/>
                <w:szCs w:val="21"/>
              </w:rPr>
            </w:pPr>
            <w:r>
              <w:rPr>
                <w:rFonts w:hint="eastAsia" w:ascii="宋体" w:hAnsi="宋体" w:cs="宋体"/>
                <w:b/>
                <w:color w:val="000000"/>
                <w:kern w:val="0"/>
                <w:szCs w:val="21"/>
              </w:rPr>
              <w:t>总分</w:t>
            </w:r>
          </w:p>
        </w:tc>
        <w:tc>
          <w:tcPr>
            <w:tcW w:w="684" w:type="dxa"/>
            <w:tcBorders>
              <w:bottom w:val="single" w:color="000000" w:sz="4" w:space="0"/>
            </w:tcBorders>
            <w:vAlign w:val="center"/>
          </w:tcPr>
          <w:p>
            <w:pPr>
              <w:jc w:val="center"/>
              <w:rPr>
                <w:rFonts w:ascii="宋体" w:cs="宋体"/>
                <w:color w:val="000000"/>
                <w:kern w:val="0"/>
                <w:szCs w:val="21"/>
              </w:rPr>
            </w:pPr>
            <w:r>
              <w:rPr>
                <w:rFonts w:ascii="宋体" w:cs="宋体"/>
                <w:color w:val="000000"/>
                <w:kern w:val="0"/>
                <w:szCs w:val="21"/>
              </w:rPr>
              <w:fldChar w:fldCharType="begin"/>
            </w:r>
            <w:r>
              <w:rPr>
                <w:rFonts w:ascii="宋体" w:cs="宋体"/>
                <w:color w:val="000000"/>
                <w:kern w:val="0"/>
                <w:szCs w:val="21"/>
              </w:rPr>
              <w:instrText xml:space="preserve"> =SUM(ABOVE) </w:instrText>
            </w:r>
            <w:r>
              <w:rPr>
                <w:rFonts w:ascii="宋体" w:cs="宋体"/>
                <w:color w:val="000000"/>
                <w:kern w:val="0"/>
                <w:szCs w:val="21"/>
              </w:rPr>
              <w:fldChar w:fldCharType="separate"/>
            </w:r>
            <w:r>
              <w:rPr>
                <w:rFonts w:ascii="宋体" w:cs="宋体"/>
                <w:color w:val="000000"/>
                <w:kern w:val="0"/>
                <w:szCs w:val="21"/>
              </w:rPr>
              <w:t>100</w:t>
            </w:r>
            <w:r>
              <w:rPr>
                <w:rFonts w:ascii="宋体" w:cs="宋体"/>
                <w:color w:val="000000"/>
                <w:kern w:val="0"/>
                <w:szCs w:val="21"/>
              </w:rPr>
              <w:fldChar w:fldCharType="end"/>
            </w:r>
          </w:p>
        </w:tc>
        <w:tc>
          <w:tcPr>
            <w:tcW w:w="6225" w:type="dxa"/>
            <w:tcBorders>
              <w:bottom w:val="single" w:color="000000" w:sz="4" w:space="0"/>
            </w:tcBorders>
            <w:vAlign w:val="center"/>
          </w:tcPr>
          <w:p>
            <w:pPr>
              <w:widowControl/>
              <w:rPr>
                <w:rFonts w:cs="宋体"/>
                <w:color w:val="000000"/>
                <w:kern w:val="0"/>
                <w:szCs w:val="21"/>
              </w:rPr>
            </w:pPr>
          </w:p>
        </w:tc>
        <w:tc>
          <w:tcPr>
            <w:tcW w:w="700" w:type="dxa"/>
            <w:tcBorders>
              <w:bottom w:val="single" w:color="000000" w:sz="4" w:space="0"/>
            </w:tcBorders>
          </w:tcPr>
          <w:p>
            <w:pPr>
              <w:widowControl/>
              <w:rPr>
                <w:rFonts w:cs="宋体"/>
                <w:color w:val="000000"/>
                <w:kern w:val="0"/>
                <w:szCs w:val="21"/>
              </w:rPr>
            </w:pPr>
          </w:p>
        </w:tc>
      </w:tr>
    </w:tbl>
    <w:p>
      <w:pPr>
        <w:spacing w:line="440" w:lineRule="exact"/>
        <w:ind w:firstLine="480" w:firstLineChars="200"/>
        <w:rPr>
          <w:color w:val="000000"/>
          <w:sz w:val="24"/>
          <w:szCs w:val="24"/>
        </w:rPr>
      </w:pP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hint="eastAsia" w:ascii="宋体" w:hAnsi="宋体"/>
          <w:sz w:val="24"/>
        </w:rPr>
        <w:t>十一、评标程序</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ascii="宋体" w:hAnsi="宋体"/>
          <w:sz w:val="24"/>
        </w:rPr>
        <w:t>1.</w:t>
      </w:r>
      <w:r>
        <w:rPr>
          <w:rFonts w:hint="eastAsia" w:ascii="宋体" w:hAnsi="宋体"/>
          <w:sz w:val="24"/>
        </w:rPr>
        <w:t>投标文件的资格审查</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ascii="宋体" w:hAnsi="宋体"/>
          <w:sz w:val="24"/>
        </w:rPr>
        <w:t>2.</w:t>
      </w:r>
      <w:r>
        <w:rPr>
          <w:rFonts w:hint="eastAsia" w:ascii="宋体" w:hAnsi="宋体"/>
          <w:sz w:val="24"/>
        </w:rPr>
        <w:t>投标文件的符合性审查</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”）的商务和技术要求。如果投标文件实质上没有响应招标文件的要求，评委会可作无效投标处理。</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lang w:val="en-US" w:eastAsia="zh-CN"/>
        </w:rPr>
        <w:t>7</w:t>
      </w:r>
      <w:r>
        <w:rPr>
          <w:rFonts w:hint="eastAsia" w:ascii="宋体" w:hAnsi="宋体" w:cs="宋体"/>
          <w:color w:val="000000"/>
          <w:kern w:val="0"/>
          <w:sz w:val="24"/>
        </w:rPr>
        <w:t>）加</w:t>
      </w:r>
      <w:r>
        <w:rPr>
          <w:rFonts w:hint="eastAsia" w:ascii="宋体" w:hAnsi="宋体" w:cs="宋体"/>
          <w:color w:val="000000"/>
          <w:sz w:val="24"/>
        </w:rPr>
        <w:t>“★”的技术指标为负偏离的或有</w:t>
      </w:r>
      <w:r>
        <w:rPr>
          <w:rFonts w:hint="eastAsia" w:ascii="宋体" w:hAnsi="宋体" w:cs="宋体"/>
          <w:color w:val="000000"/>
          <w:sz w:val="24"/>
          <w:lang w:val="en-US" w:eastAsia="zh-CN"/>
        </w:rPr>
        <w:t>5</w:t>
      </w:r>
      <w:r>
        <w:rPr>
          <w:rFonts w:hint="eastAsia" w:ascii="宋体" w:hAnsi="宋体" w:cs="宋体"/>
          <w:color w:val="000000"/>
          <w:sz w:val="24"/>
        </w:rPr>
        <w:t>项未加“★”的技术指标为负偏离的；</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hint="eastAsia" w:ascii="宋体" w:hAnsi="宋体" w:cs="宋体"/>
          <w:color w:val="000000"/>
          <w:sz w:val="24"/>
          <w:szCs w:val="22"/>
          <w:lang w:val="en-US" w:eastAsia="zh-CN"/>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lang w:val="en-US" w:eastAsia="zh-CN"/>
        </w:rPr>
        <w:t>8</w:t>
      </w:r>
      <w:r>
        <w:rPr>
          <w:rFonts w:hint="eastAsia" w:ascii="宋体" w:hAnsi="宋体" w:cs="宋体"/>
          <w:color w:val="000000"/>
          <w:sz w:val="24"/>
        </w:rPr>
        <w:t>）</w:t>
      </w:r>
      <w:r>
        <w:rPr>
          <w:rFonts w:hint="eastAsia" w:ascii="宋体" w:hAnsi="宋体" w:cs="宋体"/>
          <w:color w:val="000000"/>
          <w:sz w:val="24"/>
          <w:szCs w:val="22"/>
        </w:rPr>
        <w:t>未提供样品或经2/3以上评委认为样品偏差较大</w:t>
      </w:r>
      <w:r>
        <w:rPr>
          <w:rFonts w:hint="eastAsia" w:ascii="宋体" w:hAnsi="宋体" w:cs="宋体"/>
          <w:color w:val="000000"/>
          <w:sz w:val="24"/>
          <w:szCs w:val="22"/>
          <w:lang w:val="en-US" w:eastAsia="zh-CN"/>
        </w:rPr>
        <w:t>的；</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hint="default"/>
          <w:lang w:val="en-US"/>
        </w:rPr>
      </w:pPr>
      <w:r>
        <w:rPr>
          <w:rFonts w:hint="eastAsia" w:ascii="宋体" w:hAnsi="宋体" w:cs="宋体"/>
          <w:color w:val="000000"/>
          <w:sz w:val="24"/>
          <w:szCs w:val="22"/>
          <w:lang w:val="en-US" w:eastAsia="zh-CN"/>
        </w:rPr>
        <w:t>（19）质保未满两年的。</w:t>
      </w:r>
    </w:p>
    <w:p>
      <w:pPr>
        <w:keepNext w:val="0"/>
        <w:keepLines w:val="0"/>
        <w:pageBreakBefore w:val="0"/>
        <w:widowControl/>
        <w:kinsoku/>
        <w:wordWrap/>
        <w:overflowPunct/>
        <w:topLinePunct w:val="0"/>
        <w:autoSpaceDE/>
        <w:autoSpaceDN/>
        <w:bidi w:val="0"/>
        <w:adjustRightInd/>
        <w:snapToGrid/>
        <w:spacing w:after="0" w:line="360" w:lineRule="auto"/>
        <w:ind w:firstLine="561"/>
        <w:jc w:val="both"/>
        <w:textAlignment w:val="auto"/>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ascii="宋体" w:hAnsi="宋体"/>
          <w:sz w:val="24"/>
        </w:rPr>
        <w:t>3.</w:t>
      </w:r>
      <w:r>
        <w:rPr>
          <w:rFonts w:hint="eastAsia" w:ascii="宋体" w:hAnsi="宋体"/>
          <w:sz w:val="24"/>
        </w:rPr>
        <w:t>投标文件的投标报价审查</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ascii="宋体" w:hAnsi="宋体"/>
          <w:sz w:val="24"/>
        </w:rPr>
        <w:t>4.</w:t>
      </w:r>
      <w:r>
        <w:rPr>
          <w:rFonts w:hint="eastAsia" w:ascii="宋体" w:hAnsi="宋体"/>
          <w:sz w:val="24"/>
        </w:rPr>
        <w:t>投标文件的澄清</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ascii="宋体" w:hAnsi="宋体"/>
          <w:sz w:val="24"/>
        </w:rPr>
        <w:t>5.</w:t>
      </w:r>
      <w:r>
        <w:rPr>
          <w:rFonts w:hint="eastAsia" w:ascii="宋体" w:hAnsi="宋体"/>
          <w:sz w:val="24"/>
        </w:rPr>
        <w:t>评审及中标</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color w:val="000000"/>
          <w:kern w:val="0"/>
          <w:sz w:val="24"/>
          <w:szCs w:val="24"/>
        </w:rPr>
      </w:pPr>
      <w:r>
        <w:rPr>
          <w:rFonts w:hint="eastAsia"/>
          <w:color w:val="000000"/>
          <w:kern w:val="0"/>
          <w:sz w:val="24"/>
          <w:szCs w:val="24"/>
        </w:rPr>
        <w:t>十二、定标与签约</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3.</w:t>
      </w:r>
      <w:r>
        <w:rPr>
          <w:rFonts w:hint="eastAsia" w:ascii="Times New Roman" w:hAnsi="Times New Roman"/>
        </w:rPr>
        <w:t>质疑处理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年的投标资格，</w:t>
      </w:r>
      <w:r>
        <w:rPr>
          <w:rFonts w:hint="eastAsia" w:ascii="宋体" w:hAnsi="宋体" w:cs="宋体"/>
          <w:sz w:val="24"/>
          <w:szCs w:val="24"/>
        </w:rPr>
        <w:t>我校有权将中标资格授予排名第二的投标人或重新组织招标。</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szCs w:val="24"/>
        </w:rPr>
      </w:pPr>
      <w:r>
        <w:rPr>
          <w:rFonts w:ascii="宋体" w:hAnsi="宋体"/>
          <w:sz w:val="24"/>
          <w:szCs w:val="24"/>
        </w:rPr>
        <w:t>5.</w:t>
      </w:r>
      <w:r>
        <w:rPr>
          <w:rFonts w:hint="eastAsia" w:ascii="宋体" w:hAnsi="宋体"/>
          <w:sz w:val="24"/>
          <w:szCs w:val="24"/>
        </w:rPr>
        <w:t>履约保证金</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w:t>
      </w:r>
      <w:r>
        <w:rPr>
          <w:rFonts w:hint="eastAsia" w:ascii="宋体" w:hAnsi="宋体"/>
          <w:sz w:val="24"/>
          <w:szCs w:val="24"/>
          <w:lang w:val="en-US" w:eastAsia="zh-CN"/>
        </w:rPr>
        <w:t>5000元</w:t>
      </w:r>
      <w:r>
        <w:rPr>
          <w:rFonts w:hint="eastAsia" w:ascii="宋体" w:hAnsi="宋体"/>
          <w:sz w:val="24"/>
          <w:szCs w:val="24"/>
        </w:rPr>
        <w:t>的履约保证金。已交纳的投标保证金自动转为合同履约保证金，并补齐不足部分。</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35"/>
        <w:jc w:val="both"/>
        <w:textAlignment w:val="auto"/>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40"/>
        <w:jc w:val="both"/>
        <w:textAlignment w:val="auto"/>
        <w:rPr>
          <w:color w:val="000000"/>
          <w:kern w:val="0"/>
          <w:sz w:val="24"/>
        </w:rPr>
      </w:pPr>
      <w:r>
        <w:rPr>
          <w:rFonts w:hint="eastAsia"/>
          <w:color w:val="000000"/>
          <w:kern w:val="0"/>
          <w:sz w:val="24"/>
        </w:rPr>
        <w:t>十三、本次招标工作接受淮阴工学院监察处监督，各投标人如对我校招标工作的公正性有异议，可向我校监察处投诉，投诉电话：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40"/>
        <w:jc w:val="both"/>
        <w:textAlignment w:val="auto"/>
        <w:rPr>
          <w:color w:val="000000"/>
          <w:kern w:val="0"/>
          <w:sz w:val="24"/>
        </w:rPr>
      </w:pPr>
      <w:r>
        <w:rPr>
          <w:rFonts w:hint="eastAsia"/>
          <w:color w:val="000000"/>
          <w:kern w:val="0"/>
          <w:sz w:val="24"/>
        </w:rPr>
        <w:t>十四、本招标文件解释权归淮阴工学院招标办。本招标文件可能会有改动，请在投标前仔细上网核查，恕不单独通知。</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firstLine="440"/>
        <w:jc w:val="both"/>
        <w:textAlignment w:val="auto"/>
        <w:rPr>
          <w:color w:val="000000"/>
          <w:kern w:val="0"/>
          <w:sz w:val="24"/>
        </w:rPr>
      </w:pPr>
      <w:r>
        <w:rPr>
          <w:rFonts w:hint="eastAsia"/>
          <w:color w:val="000000"/>
          <w:kern w:val="0"/>
          <w:sz w:val="24"/>
        </w:rPr>
        <w:t>十五、联系方式</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hint="eastAsia"/>
          <w:color w:val="000000"/>
          <w:sz w:val="24"/>
        </w:rPr>
      </w:pPr>
      <w:r>
        <w:rPr>
          <w:rFonts w:hint="eastAsia"/>
          <w:color w:val="000000"/>
          <w:sz w:val="24"/>
        </w:rPr>
        <w:t>技术联系人：于老师，联系电话：13952335633；</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color w:val="000000"/>
          <w:sz w:val="24"/>
        </w:rPr>
      </w:pPr>
      <w:r>
        <w:rPr>
          <w:rFonts w:hint="eastAsia"/>
          <w:color w:val="000000"/>
          <w:sz w:val="24"/>
        </w:rPr>
        <w:t>联系地址：淮安市枚乘东路1号，淮阴工学院知行楼11-112室。</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color w:val="000000"/>
          <w:sz w:val="24"/>
        </w:rPr>
      </w:pPr>
      <w:r>
        <w:rPr>
          <w:rFonts w:hint="eastAsia"/>
          <w:color w:val="000000"/>
          <w:sz w:val="24"/>
        </w:rPr>
        <w:t>招标办联系人：</w:t>
      </w:r>
      <w:r>
        <w:rPr>
          <w:rFonts w:hint="eastAsia"/>
          <w:color w:val="000000"/>
          <w:sz w:val="24"/>
          <w:lang w:val="en-US" w:eastAsia="zh-CN"/>
        </w:rPr>
        <w:t>陆</w:t>
      </w:r>
      <w:r>
        <w:rPr>
          <w:rFonts w:hint="eastAsia"/>
          <w:color w:val="000000"/>
          <w:sz w:val="24"/>
        </w:rPr>
        <w:t>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color w:val="000000"/>
          <w:sz w:val="24"/>
        </w:rPr>
      </w:pP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color w:val="000000"/>
          <w:sz w:val="24"/>
        </w:rPr>
      </w:pP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color w:val="000000"/>
          <w:sz w:val="24"/>
        </w:rPr>
      </w:pPr>
    </w:p>
    <w:p>
      <w:pPr>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color w:val="000000"/>
          <w:sz w:val="24"/>
        </w:rPr>
      </w:pPr>
    </w:p>
    <w:p>
      <w:pPr>
        <w:keepNext w:val="0"/>
        <w:keepLines w:val="0"/>
        <w:pageBreakBefore w:val="0"/>
        <w:widowControl/>
        <w:kinsoku/>
        <w:wordWrap/>
        <w:overflowPunct/>
        <w:topLinePunct w:val="0"/>
        <w:autoSpaceDE/>
        <w:autoSpaceDN/>
        <w:bidi w:val="0"/>
        <w:adjustRightInd/>
        <w:snapToGrid/>
        <w:spacing w:after="0" w:line="360" w:lineRule="auto"/>
        <w:ind w:firstLine="4995" w:firstLineChars="1850"/>
        <w:jc w:val="both"/>
        <w:textAlignment w:val="auto"/>
        <w:rPr>
          <w:color w:val="000000"/>
          <w:spacing w:val="15"/>
          <w:kern w:val="0"/>
          <w:sz w:val="24"/>
        </w:rPr>
      </w:pPr>
      <w:r>
        <w:rPr>
          <w:rFonts w:hint="eastAsia"/>
          <w:color w:val="000000"/>
          <w:spacing w:val="15"/>
          <w:kern w:val="0"/>
          <w:sz w:val="24"/>
        </w:rPr>
        <w:t>淮阴工学院招投标办公室</w:t>
      </w:r>
    </w:p>
    <w:p>
      <w:pPr>
        <w:keepNext w:val="0"/>
        <w:keepLines w:val="0"/>
        <w:pageBreakBefore w:val="0"/>
        <w:widowControl/>
        <w:kinsoku/>
        <w:wordWrap/>
        <w:overflowPunct/>
        <w:topLinePunct w:val="0"/>
        <w:autoSpaceDE/>
        <w:autoSpaceDN/>
        <w:bidi w:val="0"/>
        <w:adjustRightInd/>
        <w:snapToGrid/>
        <w:spacing w:after="0" w:line="360" w:lineRule="auto"/>
        <w:ind w:firstLine="5535" w:firstLineChars="2050"/>
        <w:jc w:val="both"/>
        <w:textAlignment w:val="auto"/>
        <w:rPr>
          <w:color w:val="000000"/>
          <w:spacing w:val="15"/>
          <w:kern w:val="0"/>
          <w:sz w:val="24"/>
        </w:rPr>
      </w:pPr>
      <w:r>
        <w:rPr>
          <w:rFonts w:hint="eastAsia"/>
          <w:color w:val="000000"/>
          <w:spacing w:val="15"/>
          <w:kern w:val="0"/>
          <w:sz w:val="24"/>
        </w:rPr>
        <w:t>2019年7月</w:t>
      </w:r>
      <w:r>
        <w:rPr>
          <w:rFonts w:hint="eastAsia"/>
          <w:color w:val="000000"/>
          <w:spacing w:val="15"/>
          <w:kern w:val="0"/>
          <w:sz w:val="24"/>
          <w:lang w:val="en-US" w:eastAsia="zh-CN"/>
        </w:rPr>
        <w:t>3</w:t>
      </w:r>
      <w:r>
        <w:rPr>
          <w:rFonts w:hint="eastAsia"/>
          <w:color w:val="000000"/>
          <w:spacing w:val="15"/>
          <w:kern w:val="0"/>
          <w:sz w:val="24"/>
        </w:rPr>
        <w:t>日</w:t>
      </w:r>
    </w:p>
    <w:p>
      <w:pPr>
        <w:keepNext w:val="0"/>
        <w:keepLines w:val="0"/>
        <w:pageBreakBefore w:val="0"/>
        <w:kinsoku/>
        <w:wordWrap/>
        <w:overflowPunct/>
        <w:topLinePunct w:val="0"/>
        <w:autoSpaceDE/>
        <w:autoSpaceDN/>
        <w:bidi w:val="0"/>
        <w:adjustRightInd/>
        <w:snapToGrid/>
        <w:spacing w:after="0" w:line="360" w:lineRule="auto"/>
        <w:jc w:val="center"/>
        <w:textAlignment w:val="auto"/>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spacing w:after="0" w:line="360" w:lineRule="exact"/>
        <w:rPr>
          <w:rFonts w:ascii="Calibri" w:hAnsi="Calibri"/>
          <w:sz w:val="24"/>
          <w:szCs w:val="24"/>
        </w:rPr>
      </w:pPr>
      <w:r>
        <w:rPr>
          <w:rFonts w:hint="eastAsia" w:ascii="Calibri" w:hAnsi="Calibri"/>
          <w:sz w:val="24"/>
          <w:szCs w:val="24"/>
        </w:rPr>
        <w:t>一、采购</w:t>
      </w:r>
      <w:r>
        <w:rPr>
          <w:rFonts w:hint="eastAsia" w:ascii="Calibri" w:hAnsi="Calibri"/>
          <w:color w:val="000000"/>
          <w:sz w:val="24"/>
          <w:szCs w:val="24"/>
        </w:rPr>
        <w:t>清单</w:t>
      </w:r>
    </w:p>
    <w:tbl>
      <w:tblPr>
        <w:tblStyle w:val="12"/>
        <w:tblW w:w="7953" w:type="dxa"/>
        <w:tblInd w:w="93" w:type="dxa"/>
        <w:tblLayout w:type="fixed"/>
        <w:tblCellMar>
          <w:top w:w="0" w:type="dxa"/>
          <w:left w:w="108" w:type="dxa"/>
          <w:bottom w:w="0" w:type="dxa"/>
          <w:right w:w="108" w:type="dxa"/>
        </w:tblCellMar>
      </w:tblPr>
      <w:tblGrid>
        <w:gridCol w:w="1008"/>
        <w:gridCol w:w="2882"/>
        <w:gridCol w:w="236"/>
        <w:gridCol w:w="2835"/>
        <w:gridCol w:w="992"/>
      </w:tblGrid>
      <w:tr>
        <w:tblPrEx>
          <w:tblLayout w:type="fixed"/>
          <w:tblCellMar>
            <w:top w:w="0" w:type="dxa"/>
            <w:left w:w="108" w:type="dxa"/>
            <w:bottom w:w="0" w:type="dxa"/>
            <w:right w:w="108" w:type="dxa"/>
          </w:tblCellMar>
        </w:tblPrEx>
        <w:trPr>
          <w:trHeight w:val="285"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center"/>
              <w:rPr>
                <w:rFonts w:ascii="宋体" w:hAnsi="Calibri" w:cs="宋体"/>
                <w:kern w:val="0"/>
                <w:sz w:val="24"/>
                <w:szCs w:val="22"/>
              </w:rPr>
            </w:pPr>
            <w:r>
              <w:rPr>
                <w:rFonts w:hint="eastAsia" w:ascii="宋体" w:hAnsi="宋体" w:cs="宋体"/>
                <w:kern w:val="0"/>
                <w:sz w:val="24"/>
                <w:szCs w:val="22"/>
              </w:rPr>
              <w:t>序号</w:t>
            </w:r>
          </w:p>
        </w:tc>
        <w:tc>
          <w:tcPr>
            <w:tcW w:w="2882"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center"/>
              <w:rPr>
                <w:rFonts w:ascii="宋体" w:hAnsi="Calibri" w:cs="宋体"/>
                <w:kern w:val="0"/>
                <w:sz w:val="24"/>
                <w:szCs w:val="22"/>
              </w:rPr>
            </w:pPr>
            <w:r>
              <w:rPr>
                <w:rFonts w:hint="eastAsia" w:ascii="宋体" w:hAnsi="宋体" w:cs="宋体"/>
                <w:kern w:val="0"/>
                <w:sz w:val="24"/>
                <w:szCs w:val="22"/>
              </w:rPr>
              <w:t>设备名称</w:t>
            </w:r>
          </w:p>
        </w:tc>
        <w:tc>
          <w:tcPr>
            <w:tcW w:w="236" w:type="dxa"/>
            <w:tcBorders>
              <w:top w:val="single" w:color="auto" w:sz="4" w:space="0"/>
              <w:left w:val="single" w:color="auto" w:sz="4" w:space="0"/>
              <w:bottom w:val="single" w:color="auto" w:sz="4" w:space="0"/>
              <w:right w:val="nil"/>
            </w:tcBorders>
            <w:vAlign w:val="center"/>
          </w:tcPr>
          <w:p>
            <w:pPr>
              <w:widowControl/>
              <w:spacing w:after="0" w:line="360" w:lineRule="exact"/>
              <w:jc w:val="center"/>
              <w:rPr>
                <w:rFonts w:ascii="宋体" w:hAnsi="Calibri" w:cs="宋体"/>
                <w:kern w:val="0"/>
                <w:sz w:val="24"/>
                <w:szCs w:val="22"/>
              </w:rPr>
            </w:pPr>
          </w:p>
        </w:tc>
        <w:tc>
          <w:tcPr>
            <w:tcW w:w="2835" w:type="dxa"/>
            <w:tcBorders>
              <w:top w:val="single" w:color="auto" w:sz="4" w:space="0"/>
              <w:left w:val="nil"/>
              <w:bottom w:val="single" w:color="auto" w:sz="4" w:space="0"/>
              <w:right w:val="single" w:color="auto" w:sz="4" w:space="0"/>
            </w:tcBorders>
            <w:vAlign w:val="center"/>
          </w:tcPr>
          <w:p>
            <w:pPr>
              <w:widowControl/>
              <w:spacing w:after="0" w:line="360" w:lineRule="exact"/>
              <w:jc w:val="center"/>
              <w:rPr>
                <w:rFonts w:ascii="宋体" w:hAnsi="Calibri" w:cs="宋体"/>
                <w:kern w:val="0"/>
                <w:sz w:val="24"/>
                <w:szCs w:val="22"/>
              </w:rPr>
            </w:pPr>
            <w:r>
              <w:rPr>
                <w:rFonts w:hint="eastAsia" w:ascii="宋体" w:hAnsi="宋体" w:cs="宋体"/>
                <w:kern w:val="0"/>
                <w:sz w:val="24"/>
                <w:szCs w:val="22"/>
              </w:rPr>
              <w:t>规格要求</w:t>
            </w:r>
          </w:p>
        </w:tc>
        <w:tc>
          <w:tcPr>
            <w:tcW w:w="992" w:type="dxa"/>
            <w:tcBorders>
              <w:top w:val="single" w:color="auto" w:sz="4" w:space="0"/>
              <w:left w:val="nil"/>
              <w:bottom w:val="single" w:color="auto" w:sz="4" w:space="0"/>
              <w:right w:val="single" w:color="auto" w:sz="4" w:space="0"/>
            </w:tcBorders>
            <w:vAlign w:val="center"/>
          </w:tcPr>
          <w:p>
            <w:pPr>
              <w:widowControl/>
              <w:spacing w:after="0" w:line="360" w:lineRule="exact"/>
              <w:jc w:val="center"/>
              <w:rPr>
                <w:rFonts w:ascii="宋体" w:hAnsi="Calibri" w:cs="宋体"/>
                <w:kern w:val="0"/>
                <w:sz w:val="24"/>
                <w:szCs w:val="22"/>
              </w:rPr>
            </w:pPr>
            <w:r>
              <w:rPr>
                <w:rFonts w:hint="eastAsia" w:ascii="宋体" w:hAnsi="宋体" w:cs="宋体"/>
                <w:kern w:val="0"/>
                <w:sz w:val="24"/>
                <w:szCs w:val="22"/>
              </w:rPr>
              <w:t>数量</w:t>
            </w:r>
          </w:p>
        </w:tc>
      </w:tr>
      <w:tr>
        <w:tblPrEx>
          <w:tblLayout w:type="fixed"/>
          <w:tblCellMar>
            <w:top w:w="0" w:type="dxa"/>
            <w:left w:w="108" w:type="dxa"/>
            <w:bottom w:w="0" w:type="dxa"/>
            <w:right w:w="108" w:type="dxa"/>
          </w:tblCellMar>
        </w:tblPrEx>
        <w:trPr>
          <w:trHeight w:val="244" w:hRule="atLeast"/>
        </w:trPr>
        <w:tc>
          <w:tcPr>
            <w:tcW w:w="1008" w:type="dxa"/>
            <w:tcBorders>
              <w:top w:val="nil"/>
              <w:left w:val="single" w:color="auto" w:sz="4" w:space="0"/>
              <w:bottom w:val="single" w:color="auto" w:sz="4" w:space="0"/>
              <w:right w:val="single" w:color="auto" w:sz="4" w:space="0"/>
            </w:tcBorders>
            <w:vAlign w:val="center"/>
          </w:tcPr>
          <w:p>
            <w:pPr>
              <w:spacing w:after="0" w:line="360" w:lineRule="exact"/>
              <w:jc w:val="center"/>
              <w:rPr>
                <w:rFonts w:ascii="宋体" w:hAnsi="Calibri"/>
                <w:sz w:val="24"/>
                <w:szCs w:val="22"/>
              </w:rPr>
            </w:pPr>
            <w:r>
              <w:rPr>
                <w:rFonts w:ascii="宋体" w:hAnsi="宋体"/>
                <w:sz w:val="24"/>
                <w:szCs w:val="22"/>
              </w:rPr>
              <w:t>1</w:t>
            </w:r>
          </w:p>
        </w:tc>
        <w:tc>
          <w:tcPr>
            <w:tcW w:w="2882" w:type="dxa"/>
            <w:tcBorders>
              <w:top w:val="nil"/>
              <w:left w:val="single" w:color="auto" w:sz="4" w:space="0"/>
              <w:bottom w:val="single" w:color="auto" w:sz="4" w:space="0"/>
              <w:right w:val="single" w:color="auto" w:sz="4" w:space="0"/>
            </w:tcBorders>
            <w:vAlign w:val="center"/>
          </w:tcPr>
          <w:p>
            <w:pPr>
              <w:spacing w:after="0" w:line="360" w:lineRule="exact"/>
              <w:jc w:val="left"/>
              <w:rPr>
                <w:rFonts w:ascii="宋体" w:hAnsi="Calibri" w:cs="宋体"/>
                <w:sz w:val="24"/>
                <w:szCs w:val="22"/>
              </w:rPr>
            </w:pPr>
            <w:r>
              <w:rPr>
                <w:rFonts w:hint="eastAsia" w:ascii="Calibri" w:hAnsi="Calibri"/>
                <w:sz w:val="24"/>
                <w:szCs w:val="24"/>
              </w:rPr>
              <w:t>套装免漆复合实木</w:t>
            </w:r>
            <w:r>
              <w:rPr>
                <w:rFonts w:hint="eastAsia" w:ascii="Calibri" w:hAnsi="Calibri"/>
                <w:sz w:val="24"/>
                <w:szCs w:val="22"/>
              </w:rPr>
              <w:t>单扇门</w:t>
            </w:r>
          </w:p>
        </w:tc>
        <w:tc>
          <w:tcPr>
            <w:tcW w:w="236" w:type="dxa"/>
            <w:tcBorders>
              <w:top w:val="nil"/>
              <w:left w:val="single" w:color="auto" w:sz="4" w:space="0"/>
              <w:bottom w:val="single" w:color="auto" w:sz="4" w:space="0"/>
              <w:right w:val="nil"/>
            </w:tcBorders>
            <w:vAlign w:val="center"/>
          </w:tcPr>
          <w:p>
            <w:pPr>
              <w:spacing w:after="0" w:line="360" w:lineRule="exact"/>
              <w:jc w:val="center"/>
              <w:rPr>
                <w:rFonts w:ascii="Calibri" w:hAnsi="Calibri"/>
                <w:sz w:val="20"/>
                <w:szCs w:val="22"/>
              </w:rPr>
            </w:pPr>
          </w:p>
        </w:tc>
        <w:tc>
          <w:tcPr>
            <w:tcW w:w="2835" w:type="dxa"/>
            <w:tcBorders>
              <w:top w:val="nil"/>
              <w:left w:val="nil"/>
              <w:bottom w:val="single" w:color="auto" w:sz="4" w:space="0"/>
              <w:right w:val="single" w:color="auto" w:sz="4" w:space="0"/>
            </w:tcBorders>
            <w:vAlign w:val="center"/>
          </w:tcPr>
          <w:p>
            <w:pPr>
              <w:spacing w:after="0" w:line="360" w:lineRule="exact"/>
              <w:jc w:val="center"/>
              <w:rPr>
                <w:rFonts w:ascii="宋体" w:hAnsi="Calibri" w:cs="宋体"/>
                <w:sz w:val="20"/>
                <w:szCs w:val="22"/>
              </w:rPr>
            </w:pPr>
            <w:r>
              <w:rPr>
                <w:rFonts w:hint="eastAsia" w:ascii="宋体" w:hAnsi="宋体" w:cs="宋体"/>
                <w:sz w:val="20"/>
                <w:szCs w:val="22"/>
              </w:rPr>
              <w:t>见产品参数条款</w:t>
            </w:r>
          </w:p>
        </w:tc>
        <w:tc>
          <w:tcPr>
            <w:tcW w:w="992" w:type="dxa"/>
            <w:tcBorders>
              <w:top w:val="nil"/>
              <w:left w:val="nil"/>
              <w:bottom w:val="single" w:color="auto" w:sz="4" w:space="0"/>
              <w:right w:val="single" w:color="auto" w:sz="4" w:space="0"/>
            </w:tcBorders>
            <w:vAlign w:val="center"/>
          </w:tcPr>
          <w:p>
            <w:pPr>
              <w:spacing w:after="0" w:line="360" w:lineRule="exact"/>
              <w:jc w:val="center"/>
              <w:rPr>
                <w:rFonts w:ascii="宋体" w:hAnsi="Calibri" w:cs="宋体"/>
                <w:sz w:val="20"/>
                <w:szCs w:val="22"/>
              </w:rPr>
            </w:pPr>
            <w:r>
              <w:rPr>
                <w:rFonts w:ascii="Calibri" w:hAnsi="Calibri"/>
                <w:sz w:val="20"/>
                <w:szCs w:val="22"/>
              </w:rPr>
              <w:t>36</w:t>
            </w:r>
          </w:p>
        </w:tc>
      </w:tr>
      <w:tr>
        <w:tblPrEx>
          <w:tblLayout w:type="fixed"/>
          <w:tblCellMar>
            <w:top w:w="0" w:type="dxa"/>
            <w:left w:w="108" w:type="dxa"/>
            <w:bottom w:w="0" w:type="dxa"/>
            <w:right w:w="108" w:type="dxa"/>
          </w:tblCellMar>
        </w:tblPrEx>
        <w:trPr>
          <w:trHeight w:val="28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Calibri"/>
                <w:sz w:val="24"/>
                <w:szCs w:val="22"/>
              </w:rPr>
            </w:pPr>
            <w:r>
              <w:rPr>
                <w:rFonts w:ascii="宋体" w:hAnsi="宋体"/>
                <w:sz w:val="24"/>
                <w:szCs w:val="22"/>
              </w:rPr>
              <w:t>2</w:t>
            </w:r>
          </w:p>
        </w:tc>
        <w:tc>
          <w:tcPr>
            <w:tcW w:w="2882" w:type="dxa"/>
            <w:tcBorders>
              <w:top w:val="nil"/>
              <w:left w:val="single" w:color="auto" w:sz="4" w:space="0"/>
              <w:bottom w:val="single" w:color="auto" w:sz="4" w:space="0"/>
              <w:right w:val="single" w:color="auto" w:sz="4" w:space="0"/>
            </w:tcBorders>
            <w:vAlign w:val="center"/>
          </w:tcPr>
          <w:p>
            <w:pPr>
              <w:spacing w:after="0" w:line="360" w:lineRule="exact"/>
              <w:jc w:val="left"/>
              <w:rPr>
                <w:rFonts w:ascii="宋体" w:hAnsi="Calibri" w:cs="宋体"/>
                <w:sz w:val="24"/>
                <w:szCs w:val="22"/>
              </w:rPr>
            </w:pPr>
            <w:r>
              <w:rPr>
                <w:rFonts w:hint="eastAsia" w:ascii="Calibri" w:hAnsi="Calibri"/>
                <w:sz w:val="24"/>
                <w:szCs w:val="24"/>
              </w:rPr>
              <w:t>套装免漆复合实木</w:t>
            </w:r>
            <w:r>
              <w:rPr>
                <w:rFonts w:hint="eastAsia" w:ascii="Calibri" w:hAnsi="Calibri"/>
                <w:sz w:val="24"/>
                <w:szCs w:val="22"/>
              </w:rPr>
              <w:t>子母门</w:t>
            </w:r>
          </w:p>
        </w:tc>
        <w:tc>
          <w:tcPr>
            <w:tcW w:w="236" w:type="dxa"/>
            <w:tcBorders>
              <w:top w:val="nil"/>
              <w:left w:val="single" w:color="auto" w:sz="4" w:space="0"/>
              <w:bottom w:val="single" w:color="auto" w:sz="4" w:space="0"/>
              <w:right w:val="nil"/>
            </w:tcBorders>
            <w:vAlign w:val="center"/>
          </w:tcPr>
          <w:p>
            <w:pPr>
              <w:spacing w:after="0" w:line="360" w:lineRule="exact"/>
              <w:jc w:val="center"/>
              <w:rPr>
                <w:rFonts w:ascii="Calibri" w:hAnsi="Calibri"/>
                <w:sz w:val="20"/>
                <w:szCs w:val="22"/>
              </w:rPr>
            </w:pPr>
          </w:p>
        </w:tc>
        <w:tc>
          <w:tcPr>
            <w:tcW w:w="2835" w:type="dxa"/>
            <w:tcBorders>
              <w:top w:val="nil"/>
              <w:left w:val="nil"/>
              <w:bottom w:val="single" w:color="auto" w:sz="4" w:space="0"/>
              <w:right w:val="single" w:color="auto" w:sz="4" w:space="0"/>
            </w:tcBorders>
            <w:vAlign w:val="center"/>
          </w:tcPr>
          <w:p>
            <w:pPr>
              <w:spacing w:after="0" w:line="360" w:lineRule="exact"/>
              <w:jc w:val="center"/>
              <w:rPr>
                <w:rFonts w:ascii="宋体" w:hAnsi="Calibri" w:cs="宋体"/>
                <w:sz w:val="20"/>
                <w:szCs w:val="22"/>
              </w:rPr>
            </w:pPr>
            <w:r>
              <w:rPr>
                <w:rFonts w:hint="eastAsia" w:ascii="宋体" w:hAnsi="宋体" w:cs="宋体"/>
                <w:sz w:val="20"/>
                <w:szCs w:val="22"/>
              </w:rPr>
              <w:t>见产品参数条款</w:t>
            </w:r>
          </w:p>
        </w:tc>
        <w:tc>
          <w:tcPr>
            <w:tcW w:w="992" w:type="dxa"/>
            <w:tcBorders>
              <w:top w:val="nil"/>
              <w:left w:val="nil"/>
              <w:bottom w:val="single" w:color="auto" w:sz="4" w:space="0"/>
              <w:right w:val="single" w:color="auto" w:sz="4" w:space="0"/>
            </w:tcBorders>
            <w:vAlign w:val="center"/>
          </w:tcPr>
          <w:p>
            <w:pPr>
              <w:spacing w:after="0" w:line="360" w:lineRule="exact"/>
              <w:jc w:val="center"/>
              <w:rPr>
                <w:rFonts w:ascii="宋体" w:hAnsi="Calibri" w:cs="宋体"/>
                <w:sz w:val="20"/>
                <w:szCs w:val="22"/>
              </w:rPr>
            </w:pPr>
            <w:r>
              <w:rPr>
                <w:rFonts w:ascii="Calibri" w:hAnsi="Calibri"/>
                <w:sz w:val="20"/>
                <w:szCs w:val="22"/>
              </w:rPr>
              <w:t>36</w:t>
            </w:r>
          </w:p>
        </w:tc>
      </w:tr>
    </w:tbl>
    <w:p>
      <w:pPr>
        <w:spacing w:after="0" w:line="360" w:lineRule="exact"/>
        <w:ind w:firstLine="360" w:firstLineChars="150"/>
        <w:rPr>
          <w:rFonts w:ascii="Calibri" w:hAnsi="Calibri"/>
          <w:b/>
          <w:sz w:val="24"/>
          <w:szCs w:val="24"/>
        </w:rPr>
      </w:pPr>
      <w:r>
        <w:rPr>
          <w:rFonts w:ascii="Calibri" w:hAnsi="Calibri"/>
          <w:b/>
          <w:sz w:val="24"/>
          <w:szCs w:val="24"/>
        </w:rPr>
        <w:t>1.</w:t>
      </w:r>
      <w:r>
        <w:rPr>
          <w:rFonts w:hint="eastAsia" w:ascii="Calibri" w:hAnsi="Calibri"/>
          <w:b/>
          <w:sz w:val="24"/>
          <w:szCs w:val="24"/>
        </w:rPr>
        <w:t>投标前需先实地考察，了解实际情况后方可</w:t>
      </w:r>
      <w:r>
        <w:rPr>
          <w:rFonts w:hint="eastAsia" w:ascii="Calibri" w:hAnsi="Calibri"/>
          <w:b/>
          <w:sz w:val="24"/>
          <w:szCs w:val="24"/>
          <w:lang w:val="en-US" w:eastAsia="zh-CN"/>
        </w:rPr>
        <w:t>投</w:t>
      </w:r>
      <w:r>
        <w:rPr>
          <w:rFonts w:hint="eastAsia" w:ascii="Calibri" w:hAnsi="Calibri"/>
          <w:b/>
          <w:sz w:val="24"/>
          <w:szCs w:val="24"/>
        </w:rPr>
        <w:t>标。</w:t>
      </w:r>
    </w:p>
    <w:p>
      <w:pPr>
        <w:spacing w:after="0" w:line="360" w:lineRule="exact"/>
        <w:ind w:firstLine="360" w:firstLineChars="150"/>
        <w:rPr>
          <w:rFonts w:ascii="Calibri" w:hAnsi="Calibri"/>
          <w:b/>
          <w:sz w:val="24"/>
          <w:szCs w:val="24"/>
        </w:rPr>
      </w:pPr>
      <w:r>
        <w:rPr>
          <w:rFonts w:ascii="Calibri" w:hAnsi="Calibri"/>
          <w:b/>
          <w:sz w:val="24"/>
          <w:szCs w:val="24"/>
        </w:rPr>
        <w:t>2.</w:t>
      </w:r>
      <w:r>
        <w:rPr>
          <w:rFonts w:hint="eastAsia" w:ascii="Calibri" w:hAnsi="Calibri"/>
          <w:b/>
          <w:sz w:val="24"/>
          <w:szCs w:val="24"/>
        </w:rPr>
        <w:t>木门请使用免漆材质，要求耐用持久不掉色，颜色符合计算机与软件工程学院整体主色调。</w:t>
      </w:r>
    </w:p>
    <w:p>
      <w:pPr>
        <w:spacing w:after="0" w:line="360" w:lineRule="exact"/>
        <w:ind w:firstLine="360" w:firstLineChars="150"/>
        <w:rPr>
          <w:rFonts w:ascii="Calibri" w:hAnsi="Calibri"/>
          <w:b/>
          <w:sz w:val="24"/>
          <w:szCs w:val="24"/>
        </w:rPr>
      </w:pPr>
      <w:r>
        <w:rPr>
          <w:rFonts w:ascii="Calibri" w:hAnsi="Calibri"/>
          <w:b/>
          <w:sz w:val="24"/>
          <w:szCs w:val="24"/>
        </w:rPr>
        <w:t>3.</w:t>
      </w:r>
      <w:r>
        <w:rPr>
          <w:rFonts w:hint="eastAsia" w:ascii="Calibri" w:hAnsi="Calibri"/>
          <w:b/>
          <w:sz w:val="24"/>
          <w:szCs w:val="24"/>
        </w:rPr>
        <w:t>门内需走控制门禁锁的控制信号网线（POE线），请参考以下样图自行设计信号线走线，要求美观方便安装实用。门内走线需考虑门转角走线问题，不能压到信号线，门内以及门框走线请内置线槽管道，方便后期信号线安装维护。（信号线直径：7</w:t>
      </w:r>
      <w:r>
        <w:rPr>
          <w:rFonts w:ascii="Calibri" w:hAnsi="Calibri"/>
          <w:b/>
          <w:sz w:val="24"/>
          <w:szCs w:val="24"/>
        </w:rPr>
        <w:t>mm</w:t>
      </w:r>
      <w:r>
        <w:rPr>
          <w:rFonts w:hint="eastAsia" w:ascii="Calibri" w:hAnsi="Calibri"/>
          <w:b/>
          <w:sz w:val="24"/>
          <w:szCs w:val="24"/>
        </w:rPr>
        <w:t>）</w:t>
      </w:r>
    </w:p>
    <w:p>
      <w:pPr>
        <w:spacing w:after="0" w:line="360" w:lineRule="exact"/>
        <w:ind w:firstLine="360" w:firstLineChars="150"/>
        <w:rPr>
          <w:rFonts w:ascii="Calibri" w:hAnsi="Calibri"/>
          <w:b/>
          <w:sz w:val="24"/>
          <w:szCs w:val="24"/>
        </w:rPr>
      </w:pPr>
      <w:r>
        <w:rPr>
          <w:rFonts w:hint="eastAsia" w:ascii="Calibri" w:hAnsi="Calibri"/>
          <w:b/>
          <w:sz w:val="24"/>
          <w:szCs w:val="24"/>
        </w:rPr>
        <w:t>4. 投标人根据实地考察提供一份实施方案，提供的针对本项目所设计的安装（原旧门拆除）方案的合理性、先进性、扩展性和是否满足采购人需求等方面。方案需结合现场布局实际环境提供产品安装示意图。安装实际要求不影响正常教学工作，合理安排时间。</w:t>
      </w:r>
    </w:p>
    <w:p>
      <w:pPr>
        <w:spacing w:after="0" w:line="360" w:lineRule="exact"/>
        <w:rPr>
          <w:rFonts w:ascii="Calibri" w:hAnsi="Calibri"/>
          <w:sz w:val="24"/>
          <w:szCs w:val="24"/>
        </w:rPr>
      </w:pPr>
      <w:r>
        <w:rPr>
          <w:rFonts w:hint="eastAsia" w:ascii="Calibri" w:hAnsi="Calibri"/>
          <w:sz w:val="24"/>
          <w:szCs w:val="24"/>
        </w:rPr>
        <w:t>二、技术要求及样品要求</w:t>
      </w:r>
      <w:bookmarkStart w:id="2" w:name="_GoBack"/>
      <w:bookmarkEnd w:id="2"/>
    </w:p>
    <w:p>
      <w:pPr>
        <w:spacing w:after="0" w:line="360" w:lineRule="exact"/>
        <w:rPr>
          <w:rFonts w:ascii="Calibri" w:hAnsi="Calibri"/>
          <w:sz w:val="24"/>
          <w:szCs w:val="24"/>
        </w:rPr>
      </w:pPr>
      <w:r>
        <w:rPr>
          <w:rFonts w:ascii="Calibri" w:hAnsi="Calibri"/>
          <w:sz w:val="24"/>
          <w:szCs w:val="24"/>
        </w:rPr>
        <w:t>6.1</w:t>
      </w:r>
      <w:r>
        <w:rPr>
          <w:rFonts w:hint="eastAsia" w:ascii="Calibri" w:hAnsi="Calibri"/>
          <w:sz w:val="24"/>
          <w:szCs w:val="24"/>
        </w:rPr>
        <w:t>门产品参数要求：</w:t>
      </w:r>
    </w:p>
    <w:tbl>
      <w:tblPr>
        <w:tblStyle w:val="12"/>
        <w:tblW w:w="8804" w:type="dxa"/>
        <w:tblInd w:w="0" w:type="dxa"/>
        <w:tblLayout w:type="fixed"/>
        <w:tblCellMar>
          <w:top w:w="15" w:type="dxa"/>
          <w:left w:w="15" w:type="dxa"/>
          <w:bottom w:w="15" w:type="dxa"/>
          <w:right w:w="15" w:type="dxa"/>
        </w:tblCellMar>
      </w:tblPr>
      <w:tblGrid>
        <w:gridCol w:w="992"/>
        <w:gridCol w:w="157"/>
        <w:gridCol w:w="993"/>
        <w:gridCol w:w="567"/>
        <w:gridCol w:w="567"/>
        <w:gridCol w:w="1275"/>
        <w:gridCol w:w="709"/>
        <w:gridCol w:w="3544"/>
      </w:tblGrid>
      <w:tr>
        <w:tblPrEx>
          <w:tblLayout w:type="fixed"/>
          <w:tblCellMar>
            <w:top w:w="15" w:type="dxa"/>
            <w:left w:w="15" w:type="dxa"/>
            <w:bottom w:w="15" w:type="dxa"/>
            <w:right w:w="15" w:type="dxa"/>
          </w:tblCellMar>
        </w:tblPrEx>
        <w:trPr>
          <w:trHeight w:val="645" w:hRule="atLeast"/>
        </w:trPr>
        <w:tc>
          <w:tcPr>
            <w:tcW w:w="992" w:type="dxa"/>
          </w:tcPr>
          <w:p>
            <w:pPr>
              <w:spacing w:after="0" w:line="360" w:lineRule="exact"/>
              <w:jc w:val="center"/>
              <w:rPr>
                <w:rFonts w:ascii="Calibri" w:hAnsi="Calibri"/>
                <w:sz w:val="24"/>
                <w:szCs w:val="24"/>
              </w:rPr>
            </w:pPr>
          </w:p>
        </w:tc>
        <w:tc>
          <w:tcPr>
            <w:tcW w:w="7812" w:type="dxa"/>
            <w:gridSpan w:val="7"/>
            <w:vAlign w:val="center"/>
          </w:tcPr>
          <w:p>
            <w:pPr>
              <w:spacing w:after="0" w:line="360" w:lineRule="exact"/>
              <w:jc w:val="center"/>
              <w:rPr>
                <w:rFonts w:ascii="宋体" w:hAnsi="Calibri" w:cs="宋体"/>
                <w:color w:val="000000"/>
                <w:sz w:val="36"/>
                <w:szCs w:val="36"/>
              </w:rPr>
            </w:pPr>
            <w:r>
              <w:rPr>
                <w:rFonts w:hint="eastAsia" w:ascii="Calibri" w:hAnsi="Calibri"/>
                <w:sz w:val="24"/>
                <w:szCs w:val="24"/>
              </w:rPr>
              <w:t>套装免漆复合实木门表</w:t>
            </w:r>
          </w:p>
        </w:tc>
      </w:tr>
      <w:tr>
        <w:tblPrEx>
          <w:tblLayout w:type="fixed"/>
          <w:tblCellMar>
            <w:top w:w="15" w:type="dxa"/>
            <w:left w:w="15" w:type="dxa"/>
            <w:bottom w:w="15" w:type="dxa"/>
            <w:right w:w="15" w:type="dxa"/>
          </w:tblCellMar>
        </w:tblPrEx>
        <w:trPr>
          <w:trHeight w:val="610" w:hRule="atLeast"/>
        </w:trPr>
        <w:tc>
          <w:tcPr>
            <w:tcW w:w="11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楼号</w:t>
            </w:r>
          </w:p>
        </w:tc>
        <w:tc>
          <w:tcPr>
            <w:tcW w:w="993" w:type="dxa"/>
            <w:tcBorders>
              <w:top w:val="single" w:color="000000" w:sz="4" w:space="0"/>
              <w:left w:val="single" w:color="000000" w:sz="4" w:space="0"/>
              <w:bottom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产品</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宽（</w:t>
            </w:r>
            <w:r>
              <w:rPr>
                <w:rFonts w:ascii="宋体" w:hAnsi="宋体" w:cs="宋体"/>
                <w:color w:val="000000"/>
                <w:kern w:val="0"/>
                <w:sz w:val="22"/>
                <w:szCs w:val="22"/>
              </w:rPr>
              <w:t>m</w:t>
            </w:r>
            <w:r>
              <w:rPr>
                <w:rFonts w:hint="eastAsia" w:ascii="宋体" w:hAnsi="宋体" w:cs="宋体"/>
                <w:color w:val="000000"/>
                <w:kern w:val="0"/>
                <w:sz w:val="22"/>
                <w:szCs w:val="22"/>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高（</w:t>
            </w:r>
            <w:r>
              <w:rPr>
                <w:rFonts w:ascii="宋体" w:hAnsi="宋体" w:cs="宋体"/>
                <w:color w:val="000000"/>
                <w:kern w:val="0"/>
                <w:sz w:val="22"/>
                <w:szCs w:val="22"/>
              </w:rPr>
              <w:t>m</w:t>
            </w:r>
            <w:r>
              <w:rPr>
                <w:rFonts w:hint="eastAsia" w:ascii="宋体" w:hAnsi="宋体" w:cs="宋体"/>
                <w:color w:val="000000"/>
                <w:kern w:val="0"/>
                <w:sz w:val="22"/>
                <w:szCs w:val="22"/>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厚度（</w:t>
            </w:r>
            <w:r>
              <w:rPr>
                <w:rFonts w:ascii="宋体" w:hAnsi="宋体" w:cs="宋体"/>
                <w:color w:val="000000"/>
                <w:kern w:val="0"/>
                <w:sz w:val="22"/>
                <w:szCs w:val="22"/>
              </w:rPr>
              <w:t>mm</w:t>
            </w:r>
            <w:r>
              <w:rPr>
                <w:rFonts w:hint="eastAsia" w:ascii="宋体" w:hAnsi="宋体" w:cs="宋体"/>
                <w:color w:val="000000"/>
                <w:kern w:val="0"/>
                <w:sz w:val="22"/>
                <w:szCs w:val="22"/>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Calibri" w:cs="宋体"/>
                <w:color w:val="000000"/>
                <w:sz w:val="22"/>
                <w:szCs w:val="22"/>
              </w:rPr>
              <w:t>数量（扇）</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备注</w:t>
            </w:r>
          </w:p>
        </w:tc>
      </w:tr>
      <w:tr>
        <w:tblPrEx>
          <w:tblLayout w:type="fixed"/>
          <w:tblCellMar>
            <w:top w:w="15" w:type="dxa"/>
            <w:left w:w="15" w:type="dxa"/>
            <w:bottom w:w="15" w:type="dxa"/>
            <w:right w:w="15" w:type="dxa"/>
          </w:tblCellMar>
        </w:tblPrEx>
        <w:trPr>
          <w:trHeight w:val="435" w:hRule="atLeast"/>
        </w:trPr>
        <w:tc>
          <w:tcPr>
            <w:tcW w:w="114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宋体" w:cs="宋体"/>
                <w:color w:val="000000"/>
                <w:kern w:val="0"/>
                <w:sz w:val="22"/>
                <w:szCs w:val="22"/>
              </w:rPr>
              <w:t>知行楼</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Calibri" w:cs="宋体"/>
                <w:color w:val="000000"/>
                <w:sz w:val="22"/>
                <w:szCs w:val="22"/>
              </w:rPr>
              <w:t>单扇门</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kern w:val="0"/>
                <w:sz w:val="22"/>
                <w:szCs w:val="22"/>
              </w:rPr>
            </w:pPr>
            <w:r>
              <w:rPr>
                <w:rFonts w:ascii="宋体" w:hAnsi="Calibri" w:cs="宋体"/>
                <w:color w:val="000000"/>
                <w:kern w:val="0"/>
                <w:sz w:val="22"/>
                <w:szCs w:val="22"/>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kern w:val="0"/>
                <w:sz w:val="22"/>
                <w:szCs w:val="22"/>
              </w:rPr>
            </w:pPr>
            <w:r>
              <w:rPr>
                <w:rFonts w:ascii="宋体" w:hAnsi="Calibri" w:cs="宋体"/>
                <w:color w:val="000000"/>
                <w:kern w:val="0"/>
                <w:sz w:val="22"/>
                <w:szCs w:val="22"/>
              </w:rPr>
              <w:t>2.1</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Calibri" w:cs="宋体"/>
                <w:color w:val="000000"/>
                <w:sz w:val="22"/>
                <w:szCs w:val="22"/>
              </w:rPr>
              <w:t>45至50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ascii="宋体" w:hAnsi="Calibri" w:cs="宋体"/>
                <w:color w:val="000000"/>
                <w:sz w:val="22"/>
                <w:szCs w:val="22"/>
              </w:rPr>
              <w:t>36</w:t>
            </w:r>
          </w:p>
        </w:tc>
        <w:tc>
          <w:tcPr>
            <w:tcW w:w="3544" w:type="dxa"/>
            <w:vMerge w:val="restart"/>
            <w:tcBorders>
              <w:top w:val="single" w:color="000000" w:sz="4" w:space="0"/>
              <w:left w:val="single" w:color="000000" w:sz="4" w:space="0"/>
              <w:right w:val="single" w:color="000000" w:sz="4" w:space="0"/>
            </w:tcBorders>
            <w:vAlign w:val="center"/>
          </w:tcPr>
          <w:p>
            <w:pPr>
              <w:widowControl/>
              <w:numPr>
                <w:ilvl w:val="0"/>
                <w:numId w:val="1"/>
              </w:numPr>
              <w:spacing w:after="0" w:line="360" w:lineRule="exact"/>
              <w:jc w:val="left"/>
              <w:textAlignment w:val="center"/>
              <w:rPr>
                <w:rFonts w:ascii="宋体" w:hAnsi="Calibri" w:cs="宋体"/>
                <w:color w:val="000000"/>
                <w:sz w:val="22"/>
                <w:szCs w:val="22"/>
              </w:rPr>
            </w:pPr>
            <w:r>
              <w:rPr>
                <w:rFonts w:hint="eastAsia" w:ascii="宋体" w:hAnsi="Calibri" w:cs="宋体"/>
                <w:color w:val="000000"/>
                <w:sz w:val="22"/>
                <w:szCs w:val="22"/>
              </w:rPr>
              <w:t>木门材质：套装免漆复合实木；</w:t>
            </w:r>
          </w:p>
          <w:p>
            <w:pPr>
              <w:widowControl/>
              <w:numPr>
                <w:ilvl w:val="0"/>
                <w:numId w:val="1"/>
              </w:numPr>
              <w:spacing w:after="0" w:line="360" w:lineRule="exact"/>
              <w:jc w:val="left"/>
              <w:textAlignment w:val="center"/>
              <w:rPr>
                <w:rFonts w:ascii="宋体" w:hAnsi="Calibri" w:cs="宋体"/>
                <w:color w:val="000000"/>
                <w:sz w:val="22"/>
                <w:szCs w:val="22"/>
              </w:rPr>
            </w:pPr>
            <w:r>
              <w:rPr>
                <w:rFonts w:hint="eastAsia" w:ascii="宋体" w:hAnsi="Calibri" w:cs="宋体"/>
                <w:color w:val="000000"/>
                <w:sz w:val="22"/>
                <w:szCs w:val="22"/>
              </w:rPr>
              <w:t>★木门玻璃：门窗玻璃厚度</w:t>
            </w:r>
            <w:r>
              <w:rPr>
                <w:rFonts w:ascii="宋体" w:hAnsi="Calibri" w:cs="宋体"/>
                <w:color w:val="000000"/>
                <w:sz w:val="22"/>
                <w:szCs w:val="22"/>
              </w:rPr>
              <w:t>&gt;=6mm</w:t>
            </w:r>
            <w:r>
              <w:rPr>
                <w:rFonts w:hint="eastAsia" w:ascii="宋体" w:hAnsi="Calibri" w:cs="宋体"/>
                <w:color w:val="000000"/>
                <w:sz w:val="22"/>
                <w:szCs w:val="22"/>
              </w:rPr>
              <w:t>，按规范钢化处理；</w:t>
            </w:r>
          </w:p>
          <w:p>
            <w:pPr>
              <w:widowControl/>
              <w:numPr>
                <w:ilvl w:val="0"/>
                <w:numId w:val="1"/>
              </w:numPr>
              <w:spacing w:after="0" w:line="360" w:lineRule="exact"/>
              <w:jc w:val="left"/>
              <w:textAlignment w:val="center"/>
              <w:rPr>
                <w:rFonts w:ascii="宋体" w:hAnsi="Calibri" w:cs="宋体"/>
                <w:b/>
                <w:color w:val="000000"/>
                <w:sz w:val="22"/>
                <w:szCs w:val="22"/>
              </w:rPr>
            </w:pPr>
            <w:r>
              <w:rPr>
                <w:rFonts w:hint="eastAsia" w:ascii="宋体" w:hAnsi="Calibri" w:cs="宋体"/>
                <w:b/>
                <w:color w:val="000000"/>
                <w:sz w:val="22"/>
                <w:szCs w:val="22"/>
              </w:rPr>
              <w:t>11号楼1-3层实验室门需要外开，4-5层办公室门需要内开；</w:t>
            </w:r>
          </w:p>
        </w:tc>
      </w:tr>
      <w:tr>
        <w:tblPrEx>
          <w:tblLayout w:type="fixed"/>
          <w:tblCellMar>
            <w:top w:w="15" w:type="dxa"/>
            <w:left w:w="15" w:type="dxa"/>
            <w:bottom w:w="15" w:type="dxa"/>
            <w:right w:w="15" w:type="dxa"/>
          </w:tblCellMar>
        </w:tblPrEx>
        <w:trPr>
          <w:trHeight w:val="435" w:hRule="atLeast"/>
        </w:trPr>
        <w:tc>
          <w:tcPr>
            <w:tcW w:w="114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kern w:val="0"/>
                <w:sz w:val="22"/>
                <w:szCs w:val="22"/>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Calibri" w:cs="宋体"/>
                <w:color w:val="000000"/>
                <w:sz w:val="22"/>
                <w:szCs w:val="22"/>
              </w:rPr>
              <w:t>子母门</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kern w:val="0"/>
                <w:sz w:val="22"/>
                <w:szCs w:val="22"/>
              </w:rPr>
            </w:pPr>
            <w:r>
              <w:rPr>
                <w:rFonts w:ascii="宋体" w:hAnsi="Calibri" w:cs="宋体"/>
                <w:color w:val="000000"/>
                <w:kern w:val="0"/>
                <w:sz w:val="22"/>
                <w:szCs w:val="22"/>
              </w:rPr>
              <w:t>1.4</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kern w:val="0"/>
                <w:sz w:val="22"/>
                <w:szCs w:val="22"/>
              </w:rPr>
            </w:pPr>
            <w:r>
              <w:rPr>
                <w:rFonts w:ascii="宋体" w:hAnsi="Calibri" w:cs="宋体"/>
                <w:color w:val="000000"/>
                <w:kern w:val="0"/>
                <w:sz w:val="22"/>
                <w:szCs w:val="22"/>
              </w:rPr>
              <w:t>2.1</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hint="eastAsia" w:ascii="宋体" w:hAnsi="Calibri" w:cs="宋体"/>
                <w:color w:val="000000"/>
                <w:sz w:val="22"/>
                <w:szCs w:val="22"/>
              </w:rPr>
              <w:t>45至50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r>
              <w:rPr>
                <w:rFonts w:ascii="宋体" w:hAnsi="Calibri" w:cs="宋体"/>
                <w:color w:val="000000"/>
                <w:sz w:val="22"/>
                <w:szCs w:val="22"/>
              </w:rPr>
              <w:t>36</w:t>
            </w:r>
          </w:p>
        </w:tc>
        <w:tc>
          <w:tcPr>
            <w:tcW w:w="3544" w:type="dxa"/>
            <w:vMerge w:val="continue"/>
            <w:tcBorders>
              <w:left w:val="single" w:color="000000" w:sz="4" w:space="0"/>
              <w:bottom w:val="single" w:color="000000" w:sz="4" w:space="0"/>
              <w:right w:val="single" w:color="000000" w:sz="4" w:space="0"/>
            </w:tcBorders>
            <w:vAlign w:val="center"/>
          </w:tcPr>
          <w:p>
            <w:pPr>
              <w:widowControl/>
              <w:spacing w:after="0" w:line="360" w:lineRule="exact"/>
              <w:jc w:val="center"/>
              <w:textAlignment w:val="center"/>
              <w:rPr>
                <w:rFonts w:ascii="宋体" w:hAnsi="Calibri" w:cs="宋体"/>
                <w:color w:val="000000"/>
                <w:sz w:val="22"/>
                <w:szCs w:val="22"/>
              </w:rPr>
            </w:pPr>
          </w:p>
        </w:tc>
      </w:tr>
    </w:tbl>
    <w:p>
      <w:pPr>
        <w:tabs>
          <w:tab w:val="left" w:pos="312"/>
        </w:tabs>
        <w:spacing w:after="0" w:line="360" w:lineRule="exact"/>
        <w:rPr>
          <w:rFonts w:ascii="Calibri" w:hAnsi="Calibri"/>
          <w:bCs/>
          <w:sz w:val="24"/>
          <w:szCs w:val="24"/>
        </w:rPr>
      </w:pPr>
      <w:r>
        <w:rPr>
          <w:rFonts w:hint="eastAsia" w:ascii="Calibri" w:hAnsi="Calibri"/>
          <w:bCs/>
          <w:sz w:val="24"/>
          <w:szCs w:val="24"/>
        </w:rPr>
        <w:t>6.2 锁具开孔参数要求</w:t>
      </w:r>
    </w:p>
    <w:p>
      <w:pPr>
        <w:widowControl/>
        <w:jc w:val="left"/>
        <w:rPr>
          <w:rFonts w:ascii="Calibri" w:hAnsi="Calibri"/>
          <w:szCs w:val="22"/>
        </w:rPr>
      </w:pPr>
      <w:r>
        <w:rPr>
          <w:rFonts w:ascii="宋体" w:hAnsi="宋体" w:cs="宋体"/>
          <w:kern w:val="0"/>
          <w:sz w:val="24"/>
          <w:szCs w:val="24"/>
          <w:lang w:bidi="ar"/>
        </w:rPr>
        <w:fldChar w:fldCharType="begin"/>
      </w:r>
      <w:r>
        <w:rPr>
          <w:rFonts w:ascii="宋体" w:hAnsi="宋体" w:cs="宋体"/>
          <w:kern w:val="0"/>
          <w:sz w:val="24"/>
          <w:szCs w:val="24"/>
          <w:lang w:bidi="ar"/>
        </w:rPr>
        <w:instrText xml:space="preserve">INCLUDEPICTURE \d "C:\\Users\\kingmax\\Documents\\Tencent Files\\156576844\\Image\\C2C\\D3E7095A30868AE1C0B05E1624B58921.jpg" \* MERGEFORMATINET </w:instrText>
      </w:r>
      <w:r>
        <w:rPr>
          <w:rFonts w:ascii="宋体" w:hAnsi="宋体" w:cs="宋体"/>
          <w:kern w:val="0"/>
          <w:sz w:val="24"/>
          <w:szCs w:val="24"/>
          <w:lang w:bidi="ar"/>
        </w:rPr>
        <w:fldChar w:fldCharType="separate"/>
      </w:r>
      <w:r>
        <w:rPr>
          <w:rFonts w:ascii="宋体" w:hAnsi="宋体" w:cs="宋体"/>
          <w:kern w:val="0"/>
          <w:sz w:val="24"/>
          <w:szCs w:val="24"/>
        </w:rPr>
        <w:drawing>
          <wp:inline distT="0" distB="0" distL="114300" distR="114300">
            <wp:extent cx="5534025" cy="7617460"/>
            <wp:effectExtent l="0" t="0" r="9525"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r:link="rId11"/>
                    <a:stretch>
                      <a:fillRect/>
                    </a:stretch>
                  </pic:blipFill>
                  <pic:spPr>
                    <a:xfrm>
                      <a:off x="0" y="0"/>
                      <a:ext cx="5534025" cy="7617460"/>
                    </a:xfrm>
                    <a:prstGeom prst="rect">
                      <a:avLst/>
                    </a:prstGeom>
                    <a:noFill/>
                    <a:ln>
                      <a:noFill/>
                    </a:ln>
                  </pic:spPr>
                </pic:pic>
              </a:graphicData>
            </a:graphic>
          </wp:inline>
        </w:drawing>
      </w:r>
      <w:r>
        <w:rPr>
          <w:rFonts w:ascii="宋体" w:hAnsi="宋体" w:cs="宋体"/>
          <w:kern w:val="0"/>
          <w:sz w:val="24"/>
          <w:szCs w:val="24"/>
          <w:lang w:bidi="ar"/>
        </w:rPr>
        <w:fldChar w:fldCharType="end"/>
      </w:r>
    </w:p>
    <w:p>
      <w:pPr>
        <w:tabs>
          <w:tab w:val="left" w:pos="312"/>
        </w:tabs>
        <w:spacing w:line="400" w:lineRule="exact"/>
        <w:ind w:firstLine="480" w:firstLineChars="200"/>
        <w:rPr>
          <w:rFonts w:ascii="Calibri" w:hAnsi="Calibri"/>
          <w:bCs/>
          <w:sz w:val="24"/>
          <w:szCs w:val="24"/>
        </w:rPr>
      </w:pPr>
      <w:r>
        <w:rPr>
          <w:rFonts w:hint="eastAsia" w:ascii="Calibri" w:hAnsi="Calibri"/>
          <w:bCs/>
          <w:sz w:val="24"/>
          <w:szCs w:val="24"/>
        </w:rPr>
        <w:t>开孔高度根据现有勘察高度定位，在门锁长方形开孔处，延门水平位置内部留有PVC管线用于网络通信线路安装部署。</w:t>
      </w:r>
    </w:p>
    <w:p>
      <w:pPr>
        <w:tabs>
          <w:tab w:val="left" w:pos="312"/>
        </w:tabs>
        <w:spacing w:line="400" w:lineRule="exact"/>
        <w:rPr>
          <w:rFonts w:ascii="Calibri" w:hAnsi="Calibri"/>
          <w:sz w:val="24"/>
          <w:szCs w:val="24"/>
        </w:rPr>
      </w:pPr>
      <w:r>
        <w:rPr>
          <w:rFonts w:hint="eastAsia" w:ascii="Calibri" w:hAnsi="Calibri"/>
          <w:b/>
          <w:sz w:val="24"/>
          <w:szCs w:val="24"/>
        </w:rPr>
        <w:t>注</w:t>
      </w:r>
      <w:r>
        <w:rPr>
          <w:rFonts w:ascii="Calibri" w:hAnsi="Calibri"/>
          <w:b/>
          <w:sz w:val="24"/>
          <w:szCs w:val="24"/>
        </w:rPr>
        <w:t xml:space="preserve">: </w:t>
      </w:r>
      <w:r>
        <w:rPr>
          <w:rFonts w:hint="eastAsia" w:ascii="Calibri" w:hAnsi="Calibri"/>
          <w:b/>
          <w:sz w:val="24"/>
          <w:szCs w:val="24"/>
        </w:rPr>
        <w:t>表中尺寸仅供参考，制作安装前应以实地实测为准，加工制作时，应按照装饰面层厚度由制作单位予以调整，考虑不同的粉刷面层或贴面厚度。具体加工尺寸及数量由中标单位到现场核查。</w:t>
      </w:r>
    </w:p>
    <w:p>
      <w:pPr>
        <w:numPr>
          <w:ilvl w:val="0"/>
          <w:numId w:val="2"/>
        </w:numPr>
        <w:spacing w:line="400" w:lineRule="exact"/>
        <w:ind w:firstLine="420"/>
        <w:rPr>
          <w:rFonts w:ascii="Calibri" w:hAnsi="Calibri"/>
          <w:sz w:val="24"/>
          <w:szCs w:val="24"/>
        </w:rPr>
      </w:pPr>
      <w:r>
        <w:rPr>
          <w:rFonts w:hint="eastAsia" w:ascii="Calibri" w:hAnsi="Calibri"/>
          <w:sz w:val="24"/>
          <w:szCs w:val="24"/>
        </w:rPr>
        <w:t>颜色：根据计算机与软件工程学院主色调自由发挥设计，</w:t>
      </w:r>
      <w:r>
        <w:rPr>
          <w:rFonts w:hint="eastAsia" w:ascii="Calibri" w:hAnsi="Calibri"/>
          <w:szCs w:val="22"/>
        </w:rPr>
        <w:t>最终颜色须由采购人确定</w:t>
      </w:r>
      <w:r>
        <w:rPr>
          <w:rFonts w:hint="eastAsia" w:ascii="Calibri" w:hAnsi="Calibri"/>
          <w:sz w:val="24"/>
          <w:szCs w:val="24"/>
        </w:rPr>
        <w:t>；</w:t>
      </w:r>
    </w:p>
    <w:p>
      <w:pPr>
        <w:numPr>
          <w:ilvl w:val="0"/>
          <w:numId w:val="2"/>
        </w:numPr>
        <w:spacing w:line="400" w:lineRule="exact"/>
        <w:ind w:firstLine="420" w:firstLineChars="175"/>
        <w:rPr>
          <w:rFonts w:ascii="Calibri" w:hAnsi="Calibri"/>
          <w:sz w:val="24"/>
          <w:szCs w:val="24"/>
        </w:rPr>
      </w:pPr>
      <w:r>
        <w:rPr>
          <w:rFonts w:hint="eastAsia" w:ascii="Calibri" w:hAnsi="Calibri"/>
          <w:sz w:val="24"/>
          <w:szCs w:val="24"/>
        </w:rPr>
        <w:t>优化门内走线槽设计，方便后期信号线的安装以及更换。</w:t>
      </w:r>
    </w:p>
    <w:p>
      <w:pPr>
        <w:spacing w:line="400" w:lineRule="exact"/>
        <w:rPr>
          <w:rFonts w:ascii="Calibri" w:hAnsi="Calibri"/>
          <w:sz w:val="24"/>
          <w:szCs w:val="24"/>
        </w:rPr>
      </w:pPr>
      <w:r>
        <w:rPr>
          <w:rFonts w:ascii="Calibri" w:hAnsi="Calibri"/>
          <w:sz w:val="24"/>
          <w:szCs w:val="24"/>
        </w:rPr>
        <w:t>6.2</w:t>
      </w:r>
      <w:r>
        <w:rPr>
          <w:rFonts w:hint="eastAsia" w:ascii="Calibri" w:hAnsi="Calibri"/>
          <w:sz w:val="24"/>
          <w:szCs w:val="24"/>
        </w:rPr>
        <w:t>安装布线要求：</w:t>
      </w:r>
    </w:p>
    <w:p>
      <w:pPr>
        <w:spacing w:line="400" w:lineRule="exact"/>
        <w:ind w:firstLine="480" w:firstLineChars="200"/>
        <w:rPr>
          <w:rFonts w:ascii="Calibri" w:hAnsi="Calibri"/>
          <w:sz w:val="24"/>
          <w:szCs w:val="24"/>
        </w:rPr>
      </w:pPr>
      <w:r>
        <w:rPr>
          <w:rFonts w:hint="eastAsia" w:ascii="Calibri" w:hAnsi="Calibri"/>
          <w:sz w:val="24"/>
          <w:szCs w:val="24"/>
        </w:rPr>
        <w:t>按照下图所示走线方式，部署通信线路，做好通信线的隐藏，做到方便后期布线规划。★门内走线要求方式走线管道，方便后期通信线路的安装与维护。</w:t>
      </w:r>
    </w:p>
    <w:p>
      <w:pPr>
        <w:spacing w:line="400" w:lineRule="exact"/>
        <w:ind w:firstLine="480" w:firstLineChars="200"/>
        <w:rPr>
          <w:rFonts w:ascii="Calibri" w:hAnsi="Calibri"/>
          <w:b/>
          <w:sz w:val="24"/>
          <w:szCs w:val="24"/>
        </w:rPr>
      </w:pPr>
      <w:r>
        <w:rPr>
          <w:rFonts w:hint="eastAsia" w:ascii="Calibri" w:hAnsi="Calibri"/>
          <w:b/>
          <w:sz w:val="24"/>
          <w:szCs w:val="24"/>
        </w:rPr>
        <w:t>注：</w:t>
      </w:r>
      <w:r>
        <w:rPr>
          <w:rFonts w:hint="eastAsia" w:ascii="Calibri" w:hAnsi="Calibri"/>
          <w:sz w:val="24"/>
          <w:szCs w:val="24"/>
        </w:rPr>
        <w:t>★</w:t>
      </w:r>
      <w:r>
        <w:rPr>
          <w:rFonts w:hint="eastAsia" w:ascii="Calibri" w:hAnsi="Calibri"/>
          <w:b/>
          <w:sz w:val="24"/>
          <w:szCs w:val="24"/>
        </w:rPr>
        <w:t>安装包括原旧门拆除等。</w:t>
      </w:r>
    </w:p>
    <w:p>
      <w:pPr>
        <w:widowControl/>
        <w:jc w:val="center"/>
        <w:rPr>
          <w:rFonts w:ascii="宋体" w:hAnsi="Calibri" w:cs="宋体"/>
          <w:kern w:val="0"/>
          <w:sz w:val="24"/>
          <w:szCs w:val="24"/>
        </w:rPr>
      </w:pPr>
      <w:r>
        <w:rPr>
          <w:rFonts w:ascii="宋体" w:hAnsi="Calibri" w:cs="宋体"/>
          <w:kern w:val="0"/>
          <w:sz w:val="24"/>
          <w:szCs w:val="24"/>
        </w:rPr>
        <w:drawing>
          <wp:inline distT="0" distB="0" distL="114300" distR="114300">
            <wp:extent cx="5462270" cy="4269740"/>
            <wp:effectExtent l="0" t="0" r="5080" b="165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462270" cy="4269740"/>
                    </a:xfrm>
                    <a:prstGeom prst="rect">
                      <a:avLst/>
                    </a:prstGeom>
                    <a:noFill/>
                    <a:ln>
                      <a:noFill/>
                    </a:ln>
                  </pic:spPr>
                </pic:pic>
              </a:graphicData>
            </a:graphic>
          </wp:inline>
        </w:drawing>
      </w:r>
    </w:p>
    <w:p>
      <w:pPr>
        <w:widowControl/>
        <w:jc w:val="center"/>
        <w:rPr>
          <w:rFonts w:ascii="宋体" w:hAnsi="Calibri" w:cs="宋体"/>
          <w:kern w:val="0"/>
          <w:sz w:val="24"/>
          <w:szCs w:val="24"/>
        </w:rPr>
      </w:pPr>
      <w:r>
        <w:rPr>
          <w:rFonts w:hint="eastAsia" w:ascii="Calibri" w:hAnsi="Calibri"/>
          <w:sz w:val="24"/>
          <w:szCs w:val="24"/>
        </w:rPr>
        <w:t>套装免漆复合实木门</w:t>
      </w:r>
      <w:r>
        <w:rPr>
          <w:rFonts w:hint="eastAsia" w:ascii="宋体" w:hAnsi="Calibri" w:cs="宋体"/>
          <w:kern w:val="0"/>
          <w:sz w:val="24"/>
          <w:szCs w:val="24"/>
        </w:rPr>
        <w:t>安装走线参考图</w:t>
      </w:r>
    </w:p>
    <w:p>
      <w:pPr>
        <w:spacing w:line="300" w:lineRule="auto"/>
        <w:ind w:firstLine="480" w:firstLineChars="200"/>
        <w:rPr>
          <w:color w:val="000000"/>
          <w:sz w:val="24"/>
          <w:szCs w:val="24"/>
        </w:rPr>
      </w:pPr>
      <w:r>
        <w:rPr>
          <w:rFonts w:hint="eastAsia"/>
          <w:color w:val="000000"/>
          <w:sz w:val="24"/>
        </w:rPr>
        <w:t>三</w:t>
      </w:r>
      <w:r>
        <w:rPr>
          <w:rFonts w:hint="eastAsia"/>
          <w:color w:val="000000"/>
          <w:sz w:val="24"/>
          <w:szCs w:val="24"/>
        </w:rPr>
        <w:t>、商务要求</w:t>
      </w:r>
    </w:p>
    <w:p>
      <w:pPr>
        <w:spacing w:line="360" w:lineRule="auto"/>
        <w:ind w:firstLine="480" w:firstLineChars="200"/>
        <w:rPr>
          <w:color w:val="000000"/>
          <w:sz w:val="24"/>
          <w:lang w:val="zh-CN"/>
        </w:rPr>
      </w:pPr>
      <w:r>
        <w:rPr>
          <w:color w:val="000000"/>
          <w:sz w:val="24"/>
          <w:lang w:val="zh-CN"/>
        </w:rPr>
        <w:t>1.</w:t>
      </w:r>
      <w:r>
        <w:rPr>
          <w:rFonts w:hint="eastAsia"/>
          <w:color w:val="000000"/>
          <w:sz w:val="24"/>
          <w:lang w:val="zh-CN"/>
        </w:rPr>
        <w:t>供货时间</w:t>
      </w:r>
      <w:r>
        <w:rPr>
          <w:color w:val="000000"/>
          <w:sz w:val="24"/>
          <w:lang w:val="zh-CN"/>
        </w:rPr>
        <w:t>:</w:t>
      </w:r>
      <w:r>
        <w:rPr>
          <w:rFonts w:hint="eastAsia"/>
          <w:color w:val="000000"/>
          <w:sz w:val="24"/>
          <w:lang w:val="zh-CN"/>
        </w:rPr>
        <w:t>合同签订后</w:t>
      </w:r>
      <w:r>
        <w:rPr>
          <w:rFonts w:hint="eastAsia"/>
          <w:color w:val="000000"/>
          <w:sz w:val="24"/>
          <w:lang w:val="en-US" w:eastAsia="zh-CN"/>
        </w:rPr>
        <w:t>一个月</w:t>
      </w:r>
      <w:r>
        <w:rPr>
          <w:rFonts w:hint="eastAsia"/>
          <w:color w:val="000000"/>
          <w:sz w:val="24"/>
          <w:lang w:val="zh-CN"/>
        </w:rPr>
        <w:t>内供货安装调试到位。</w:t>
      </w:r>
    </w:p>
    <w:p>
      <w:pPr>
        <w:spacing w:line="360" w:lineRule="auto"/>
        <w:ind w:firstLine="480" w:firstLineChars="200"/>
        <w:rPr>
          <w:color w:val="000000"/>
          <w:sz w:val="24"/>
          <w:lang w:val="zh-CN"/>
        </w:rPr>
      </w:pPr>
      <w:r>
        <w:rPr>
          <w:color w:val="000000"/>
          <w:sz w:val="24"/>
          <w:lang w:val="zh-CN"/>
        </w:rPr>
        <w:t>2.</w:t>
      </w:r>
      <w:r>
        <w:rPr>
          <w:rFonts w:hint="eastAsia"/>
          <w:color w:val="000000"/>
          <w:sz w:val="24"/>
          <w:lang w:val="zh-CN"/>
        </w:rPr>
        <w:t>供货地点</w:t>
      </w:r>
      <w:r>
        <w:rPr>
          <w:color w:val="000000"/>
          <w:sz w:val="24"/>
          <w:lang w:val="zh-CN"/>
        </w:rPr>
        <w:t>:</w:t>
      </w:r>
      <w:r>
        <w:rPr>
          <w:rFonts w:hint="eastAsia"/>
        </w:rPr>
        <w:t xml:space="preserve"> </w:t>
      </w:r>
      <w:r>
        <w:rPr>
          <w:rFonts w:hint="eastAsia"/>
          <w:color w:val="000000"/>
          <w:sz w:val="24"/>
          <w:lang w:val="zh-CN"/>
        </w:rPr>
        <w:t>淮安市枚乘东路1号，淮阴工学院知行楼11号楼1-5层</w:t>
      </w:r>
    </w:p>
    <w:p>
      <w:pPr>
        <w:spacing w:line="360" w:lineRule="auto"/>
        <w:ind w:firstLine="480" w:firstLineChars="200"/>
        <w:rPr>
          <w:rFonts w:hint="eastAsia"/>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60" w:lineRule="auto"/>
        <w:ind w:firstLine="480" w:firstLineChars="200"/>
        <w:rPr>
          <w:rFonts w:hint="eastAsia"/>
          <w:color w:val="000000"/>
          <w:sz w:val="24"/>
          <w:szCs w:val="22"/>
          <w:lang w:val="en-US" w:eastAsia="zh-CN"/>
        </w:rPr>
      </w:pPr>
      <w:r>
        <w:rPr>
          <w:rFonts w:hint="eastAsia"/>
          <w:color w:val="000000"/>
          <w:sz w:val="24"/>
          <w:szCs w:val="22"/>
          <w:lang w:val="en-US" w:eastAsia="zh-CN"/>
        </w:rPr>
        <w:t>4.质保期不少于两年。</w:t>
      </w:r>
    </w:p>
    <w:p>
      <w:pPr>
        <w:spacing w:line="360" w:lineRule="auto"/>
        <w:ind w:firstLine="480" w:firstLineChars="200"/>
        <w:rPr>
          <w:rFonts w:hint="eastAsia"/>
          <w:sz w:val="24"/>
          <w:szCs w:val="24"/>
        </w:rPr>
      </w:pPr>
      <w:r>
        <w:rPr>
          <w:rFonts w:hint="eastAsia"/>
          <w:sz w:val="24"/>
          <w:szCs w:val="24"/>
          <w:lang w:val="en-US" w:eastAsia="zh-CN"/>
        </w:rPr>
        <w:t>四</w:t>
      </w:r>
      <w:r>
        <w:rPr>
          <w:rFonts w:hint="eastAsia"/>
          <w:sz w:val="24"/>
          <w:szCs w:val="24"/>
        </w:rPr>
        <w:t>、其他</w:t>
      </w:r>
    </w:p>
    <w:p>
      <w:pPr>
        <w:spacing w:line="360" w:lineRule="auto"/>
        <w:ind w:firstLine="480" w:firstLineChars="200"/>
        <w:rPr>
          <w:sz w:val="24"/>
          <w:szCs w:val="22"/>
          <w:lang w:val="zh-CN"/>
        </w:rPr>
      </w:pPr>
      <w:r>
        <w:rPr>
          <w:sz w:val="24"/>
          <w:szCs w:val="22"/>
        </w:rPr>
        <w:t>1.</w:t>
      </w:r>
      <w:r>
        <w:rPr>
          <w:rFonts w:hint="eastAsia"/>
          <w:sz w:val="24"/>
          <w:szCs w:val="22"/>
          <w:lang w:val="zh-CN"/>
        </w:rPr>
        <w:t>产品要有出厂合格证，要符合国家标准的有关要求，产品具有权威部门出具的检测检验报告，所提供的产品及安装保证通过竣工验收。</w:t>
      </w:r>
    </w:p>
    <w:p>
      <w:pPr>
        <w:spacing w:line="360" w:lineRule="auto"/>
        <w:ind w:firstLine="480" w:firstLineChars="200"/>
        <w:rPr>
          <w:sz w:val="24"/>
          <w:szCs w:val="22"/>
          <w:lang w:val="zh-CN"/>
        </w:rPr>
      </w:pPr>
      <w:r>
        <w:rPr>
          <w:sz w:val="24"/>
          <w:szCs w:val="22"/>
        </w:rPr>
        <w:t>2.</w:t>
      </w:r>
      <w:r>
        <w:rPr>
          <w:rFonts w:hint="eastAsia"/>
          <w:sz w:val="24"/>
          <w:szCs w:val="22"/>
          <w:lang w:val="zh-CN"/>
        </w:rPr>
        <w:t>如招标人对产品的质量有疑议，可委托国家有资质的技术质量检测机构检测试验，如检验合格，检验费用由招标人支付，如不合格，费用由投标人支付，并承担相应的违约责任，并承担由此给招标人造成的一切直接及间接损失；</w:t>
      </w:r>
    </w:p>
    <w:p>
      <w:pPr>
        <w:spacing w:line="360" w:lineRule="auto"/>
        <w:ind w:firstLine="480" w:firstLineChars="200"/>
        <w:rPr>
          <w:sz w:val="24"/>
          <w:szCs w:val="22"/>
          <w:lang w:val="zh-CN"/>
        </w:rPr>
      </w:pPr>
      <w:r>
        <w:rPr>
          <w:sz w:val="24"/>
          <w:szCs w:val="22"/>
        </w:rPr>
        <w:t>3.</w:t>
      </w:r>
      <w:r>
        <w:rPr>
          <w:rFonts w:hint="eastAsia"/>
          <w:sz w:val="24"/>
          <w:szCs w:val="22"/>
          <w:lang w:val="zh-CN"/>
        </w:rPr>
        <w:t>因履约过程中市场行情变化而导致产品价格波动，以及其他因投标人原因造成的价格波动时，合同价格均不予调整。</w:t>
      </w:r>
    </w:p>
    <w:p>
      <w:pPr>
        <w:pStyle w:val="2"/>
        <w:rPr>
          <w:rFonts w:hint="default"/>
          <w:lang w:val="en-US" w:eastAsia="zh-CN"/>
        </w:rPr>
      </w:pP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keepNext w:val="0"/>
        <w:keepLines w:val="0"/>
        <w:pageBreakBefore w:val="0"/>
        <w:widowControl w:val="0"/>
        <w:kinsoku/>
        <w:wordWrap/>
        <w:overflowPunct/>
        <w:topLinePunct w:val="0"/>
        <w:autoSpaceDE/>
        <w:autoSpaceDN/>
        <w:bidi w:val="0"/>
        <w:adjustRightInd/>
        <w:snapToGrid/>
        <w:spacing w:after="0" w:line="400" w:lineRule="exact"/>
        <w:ind w:left="0" w:firstLine="480"/>
        <w:textAlignment w:val="auto"/>
        <w:rPr>
          <w:rFonts w:hint="eastAsia" w:ascii="宋体" w:hAnsi="宋体" w:cs="宋体"/>
          <w:sz w:val="24"/>
          <w:szCs w:val="24"/>
        </w:rPr>
      </w:pPr>
      <w:r>
        <w:rPr>
          <w:rFonts w:hint="eastAsia" w:ascii="宋体" w:hAnsi="宋体" w:cs="宋体"/>
          <w:sz w:val="24"/>
          <w:szCs w:val="24"/>
        </w:rPr>
        <w:t>根据《中华人民共和国合同法》，甲、乙双方经过友好协商，本着平等互利的原则，签订以下条款。</w:t>
      </w:r>
    </w:p>
    <w:p>
      <w:pPr>
        <w:keepNext w:val="0"/>
        <w:keepLines w:val="0"/>
        <w:pageBreakBefore w:val="0"/>
        <w:widowControl w:val="0"/>
        <w:kinsoku/>
        <w:wordWrap/>
        <w:overflowPunct/>
        <w:topLinePunct w:val="0"/>
        <w:autoSpaceDE/>
        <w:autoSpaceDN/>
        <w:bidi w:val="0"/>
        <w:adjustRightInd/>
        <w:snapToGrid/>
        <w:spacing w:after="0" w:line="400" w:lineRule="exact"/>
        <w:ind w:left="0" w:firstLine="480"/>
        <w:textAlignment w:val="auto"/>
        <w:rPr>
          <w:rFonts w:ascii="宋体" w:cs="宋体"/>
          <w:b/>
          <w:sz w:val="24"/>
          <w:szCs w:val="24"/>
        </w:rPr>
      </w:pPr>
      <w:r>
        <w:rPr>
          <w:rFonts w:hint="eastAsia" w:ascii="宋体" w:hAnsi="宋体" w:cs="宋体"/>
          <w:b/>
          <w:sz w:val="24"/>
          <w:szCs w:val="24"/>
          <w:lang w:val="en-US" w:eastAsia="zh-CN"/>
        </w:rPr>
        <w:t xml:space="preserve">一、 </w:t>
      </w:r>
      <w:r>
        <w:rPr>
          <w:rFonts w:hint="eastAsia" w:ascii="宋体" w:hAnsi="宋体" w:cs="宋体"/>
          <w:b/>
          <w:sz w:val="24"/>
          <w:szCs w:val="24"/>
        </w:rPr>
        <w:t>采购内容</w:t>
      </w:r>
    </w:p>
    <w:p>
      <w:pPr>
        <w:keepNext w:val="0"/>
        <w:keepLines w:val="0"/>
        <w:pageBreakBefore w:val="0"/>
        <w:widowControl w:val="0"/>
        <w:kinsoku/>
        <w:wordWrap/>
        <w:overflowPunct/>
        <w:topLinePunct w:val="0"/>
        <w:autoSpaceDE/>
        <w:autoSpaceDN/>
        <w:bidi w:val="0"/>
        <w:adjustRightInd/>
        <w:snapToGrid/>
        <w:spacing w:after="0" w:line="400" w:lineRule="exact"/>
        <w:ind w:left="0" w:hanging="2040" w:hangingChars="850"/>
        <w:textAlignment w:val="auto"/>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2"/>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keepNext w:val="0"/>
        <w:keepLines w:val="0"/>
        <w:pageBreakBefore w:val="0"/>
        <w:tabs>
          <w:tab w:val="left" w:pos="945"/>
          <w:tab w:val="left" w:pos="1050"/>
          <w:tab w:val="left" w:pos="1155"/>
        </w:tabs>
        <w:kinsoku/>
        <w:wordWrap/>
        <w:overflowPunct/>
        <w:topLinePunct w:val="0"/>
        <w:autoSpaceDE/>
        <w:autoSpaceDN/>
        <w:bidi w:val="0"/>
        <w:adjustRightInd w:val="0"/>
        <w:spacing w:after="0" w:line="360" w:lineRule="auto"/>
        <w:ind w:right="0" w:firstLine="480" w:firstLineChars="200"/>
        <w:jc w:val="both"/>
        <w:textAlignment w:val="auto"/>
        <w:rPr>
          <w:rFonts w:ascii="宋体" w:cs="宋体"/>
          <w:b/>
          <w:sz w:val="24"/>
          <w:szCs w:val="24"/>
        </w:rPr>
      </w:pPr>
      <w:r>
        <w:rPr>
          <w:rFonts w:hint="eastAsia" w:ascii="宋体" w:hAnsi="宋体" w:cs="宋体"/>
          <w:b/>
          <w:sz w:val="24"/>
          <w:szCs w:val="24"/>
        </w:rPr>
        <w:t>二、交货时间及地点</w:t>
      </w:r>
    </w:p>
    <w:p>
      <w:pPr>
        <w:keepNext w:val="0"/>
        <w:keepLines w:val="0"/>
        <w:pageBreakBefore w:val="0"/>
        <w:tabs>
          <w:tab w:val="left" w:pos="945"/>
        </w:tabs>
        <w:kinsoku/>
        <w:wordWrap/>
        <w:overflowPunct/>
        <w:topLinePunct w:val="0"/>
        <w:autoSpaceDE/>
        <w:autoSpaceDN/>
        <w:bidi w:val="0"/>
        <w:adjustRightInd w:val="0"/>
        <w:spacing w:after="0" w:line="360" w:lineRule="auto"/>
        <w:ind w:right="0" w:firstLine="510"/>
        <w:jc w:val="both"/>
        <w:textAlignment w:val="auto"/>
        <w:rPr>
          <w:rFonts w:ascii="宋体" w:cs="宋体"/>
          <w:b/>
          <w:sz w:val="24"/>
          <w:szCs w:val="24"/>
        </w:rPr>
      </w:pPr>
      <w:r>
        <w:rPr>
          <w:rFonts w:hint="eastAsia" w:ascii="宋体" w:hAnsi="宋体" w:cs="宋体"/>
          <w:sz w:val="24"/>
          <w:szCs w:val="24"/>
        </w:rPr>
        <w:t>乙方须在合同签订后</w:t>
      </w:r>
      <w:r>
        <w:rPr>
          <w:rFonts w:hint="eastAsia" w:ascii="宋体" w:hAnsi="宋体" w:cs="宋体"/>
          <w:sz w:val="24"/>
          <w:szCs w:val="24"/>
          <w:lang w:val="en-US" w:eastAsia="zh-CN"/>
        </w:rPr>
        <w:t>一个月内</w:t>
      </w:r>
      <w:r>
        <w:rPr>
          <w:rFonts w:hint="eastAsia" w:ascii="宋体" w:hAnsi="宋体" w:cs="宋体"/>
          <w:sz w:val="24"/>
          <w:szCs w:val="24"/>
        </w:rPr>
        <w:t>免费将本合同订购之设备送至甲方指定地点，并负责安装完毕。</w:t>
      </w:r>
    </w:p>
    <w:p>
      <w:pPr>
        <w:keepNext w:val="0"/>
        <w:keepLines w:val="0"/>
        <w:pageBreakBefore w:val="0"/>
        <w:tabs>
          <w:tab w:val="left" w:pos="900"/>
          <w:tab w:val="left" w:pos="945"/>
        </w:tabs>
        <w:kinsoku/>
        <w:wordWrap/>
        <w:overflowPunct/>
        <w:topLinePunct w:val="0"/>
        <w:autoSpaceDE/>
        <w:autoSpaceDN/>
        <w:bidi w:val="0"/>
        <w:adjustRightInd w:val="0"/>
        <w:spacing w:after="0" w:line="360" w:lineRule="auto"/>
        <w:ind w:right="0" w:firstLine="482"/>
        <w:jc w:val="both"/>
        <w:textAlignment w:val="auto"/>
        <w:rPr>
          <w:rFonts w:ascii="宋体" w:cs="宋体"/>
          <w:b/>
          <w:sz w:val="24"/>
          <w:szCs w:val="24"/>
        </w:rPr>
      </w:pPr>
      <w:r>
        <w:rPr>
          <w:rFonts w:hint="eastAsia" w:ascii="宋体" w:hAnsi="宋体" w:cs="宋体"/>
          <w:b/>
          <w:sz w:val="24"/>
          <w:szCs w:val="24"/>
        </w:rPr>
        <w:t>三、相关责任及付款方式</w:t>
      </w:r>
    </w:p>
    <w:p>
      <w:pPr>
        <w:keepNext w:val="0"/>
        <w:keepLines w:val="0"/>
        <w:pageBreakBefore w:val="0"/>
        <w:numPr>
          <w:ilvl w:val="0"/>
          <w:numId w:val="3"/>
        </w:numPr>
        <w:tabs>
          <w:tab w:val="left" w:pos="900"/>
          <w:tab w:val="left" w:pos="945"/>
        </w:tabs>
        <w:kinsoku/>
        <w:wordWrap/>
        <w:overflowPunct/>
        <w:topLinePunct w:val="0"/>
        <w:autoSpaceDE/>
        <w:autoSpaceDN/>
        <w:bidi w:val="0"/>
        <w:adjustRightInd w:val="0"/>
        <w:spacing w:after="0" w:line="360" w:lineRule="auto"/>
        <w:ind w:left="0" w:right="0" w:firstLine="540"/>
        <w:jc w:val="both"/>
        <w:textAlignment w:val="auto"/>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keepNext w:val="0"/>
        <w:keepLines w:val="0"/>
        <w:pageBreakBefore w:val="0"/>
        <w:tabs>
          <w:tab w:val="left" w:pos="900"/>
          <w:tab w:val="left" w:pos="945"/>
        </w:tabs>
        <w:kinsoku/>
        <w:wordWrap/>
        <w:overflowPunct/>
        <w:topLinePunct w:val="0"/>
        <w:autoSpaceDE/>
        <w:autoSpaceDN/>
        <w:bidi w:val="0"/>
        <w:adjustRightInd w:val="0"/>
        <w:spacing w:after="0" w:line="360" w:lineRule="auto"/>
        <w:ind w:right="0" w:firstLine="460" w:firstLineChars="192"/>
        <w:jc w:val="both"/>
        <w:textAlignment w:val="auto"/>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keepNext w:val="0"/>
        <w:keepLines w:val="0"/>
        <w:pageBreakBefore w:val="0"/>
        <w:tabs>
          <w:tab w:val="left" w:pos="945"/>
        </w:tabs>
        <w:kinsoku/>
        <w:wordWrap/>
        <w:overflowPunct/>
        <w:topLinePunct w:val="0"/>
        <w:autoSpaceDE/>
        <w:autoSpaceDN/>
        <w:bidi w:val="0"/>
        <w:adjustRightInd w:val="0"/>
        <w:spacing w:after="0" w:line="360" w:lineRule="auto"/>
        <w:ind w:right="0" w:firstLine="460" w:firstLineChars="192"/>
        <w:jc w:val="both"/>
        <w:textAlignment w:val="auto"/>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keepNext w:val="0"/>
        <w:keepLines w:val="0"/>
        <w:pageBreakBefore w:val="0"/>
        <w:tabs>
          <w:tab w:val="left" w:pos="900"/>
        </w:tabs>
        <w:kinsoku/>
        <w:wordWrap/>
        <w:overflowPunct/>
        <w:topLinePunct w:val="0"/>
        <w:autoSpaceDE/>
        <w:autoSpaceDN/>
        <w:bidi w:val="0"/>
        <w:adjustRightInd w:val="0"/>
        <w:spacing w:after="0" w:line="360" w:lineRule="auto"/>
        <w:ind w:right="0" w:firstLine="460" w:firstLineChars="192"/>
        <w:jc w:val="both"/>
        <w:textAlignment w:val="auto"/>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hint="eastAsia" w:ascii="宋体" w:hAnsi="宋体" w:cs="宋体"/>
          <w:sz w:val="24"/>
          <w:szCs w:val="24"/>
          <w:lang w:val="en-US" w:eastAsia="zh-CN"/>
        </w:rPr>
        <w:t>两</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keepNext w:val="0"/>
        <w:keepLines w:val="0"/>
        <w:pageBreakBefore w:val="0"/>
        <w:tabs>
          <w:tab w:val="left" w:pos="900"/>
        </w:tabs>
        <w:kinsoku/>
        <w:wordWrap/>
        <w:overflowPunct/>
        <w:topLinePunct w:val="0"/>
        <w:autoSpaceDE/>
        <w:autoSpaceDN/>
        <w:bidi w:val="0"/>
        <w:adjustRightInd w:val="0"/>
        <w:spacing w:after="0" w:line="360" w:lineRule="auto"/>
        <w:ind w:right="0" w:firstLine="360" w:firstLineChars="150"/>
        <w:jc w:val="both"/>
        <w:textAlignment w:val="auto"/>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5"/>
        <w:keepNext w:val="0"/>
        <w:keepLines w:val="0"/>
        <w:pageBreakBefore w:val="0"/>
        <w:kinsoku/>
        <w:wordWrap/>
        <w:overflowPunct/>
        <w:topLinePunct w:val="0"/>
        <w:autoSpaceDE/>
        <w:autoSpaceDN/>
        <w:bidi w:val="0"/>
        <w:spacing w:after="0" w:line="360" w:lineRule="auto"/>
        <w:ind w:right="0"/>
        <w:jc w:val="both"/>
        <w:textAlignment w:val="auto"/>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keepNext w:val="0"/>
        <w:keepLines w:val="0"/>
        <w:pageBreakBefore w:val="0"/>
        <w:tabs>
          <w:tab w:val="left" w:pos="900"/>
        </w:tabs>
        <w:kinsoku/>
        <w:wordWrap/>
        <w:overflowPunct/>
        <w:topLinePunct w:val="0"/>
        <w:autoSpaceDE/>
        <w:autoSpaceDN/>
        <w:bidi w:val="0"/>
        <w:adjustRightInd w:val="0"/>
        <w:spacing w:after="0" w:line="360" w:lineRule="auto"/>
        <w:ind w:right="0"/>
        <w:jc w:val="both"/>
        <w:textAlignment w:val="auto"/>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keepNext w:val="0"/>
        <w:keepLines w:val="0"/>
        <w:pageBreakBefore w:val="0"/>
        <w:widowControl/>
        <w:kinsoku/>
        <w:wordWrap/>
        <w:overflowPunct/>
        <w:topLinePunct w:val="0"/>
        <w:autoSpaceDE/>
        <w:autoSpaceDN/>
        <w:bidi w:val="0"/>
        <w:spacing w:after="0" w:line="360" w:lineRule="auto"/>
        <w:ind w:right="0" w:firstLine="480" w:firstLineChars="200"/>
        <w:jc w:val="both"/>
        <w:textAlignment w:val="auto"/>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keepNext w:val="0"/>
        <w:keepLines w:val="0"/>
        <w:pageBreakBefore w:val="0"/>
        <w:tabs>
          <w:tab w:val="left" w:pos="735"/>
          <w:tab w:val="left" w:pos="900"/>
          <w:tab w:val="left" w:pos="945"/>
          <w:tab w:val="left" w:pos="1080"/>
        </w:tabs>
        <w:kinsoku/>
        <w:wordWrap/>
        <w:overflowPunct/>
        <w:topLinePunct w:val="0"/>
        <w:autoSpaceDE/>
        <w:autoSpaceDN/>
        <w:bidi w:val="0"/>
        <w:adjustRightInd w:val="0"/>
        <w:snapToGrid w:val="0"/>
        <w:spacing w:after="0" w:line="360" w:lineRule="auto"/>
        <w:ind w:right="0" w:firstLine="480" w:firstLineChars="200"/>
        <w:jc w:val="both"/>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keepNext w:val="0"/>
        <w:keepLines w:val="0"/>
        <w:pageBreakBefore w:val="0"/>
        <w:tabs>
          <w:tab w:val="left" w:pos="735"/>
          <w:tab w:val="left" w:pos="900"/>
          <w:tab w:val="left" w:pos="945"/>
          <w:tab w:val="left" w:pos="1080"/>
        </w:tabs>
        <w:kinsoku/>
        <w:wordWrap/>
        <w:overflowPunct/>
        <w:topLinePunct w:val="0"/>
        <w:autoSpaceDE/>
        <w:autoSpaceDN/>
        <w:bidi w:val="0"/>
        <w:adjustRightInd w:val="0"/>
        <w:snapToGrid w:val="0"/>
        <w:spacing w:after="0" w:line="360" w:lineRule="auto"/>
        <w:ind w:right="0" w:firstLine="480" w:firstLineChars="200"/>
        <w:jc w:val="both"/>
        <w:textAlignment w:val="auto"/>
        <w:rPr>
          <w:rFonts w:ascii="宋体" w:cs="宋体"/>
          <w:b/>
          <w:sz w:val="24"/>
          <w:szCs w:val="24"/>
        </w:rPr>
      </w:pPr>
      <w:r>
        <w:rPr>
          <w:rFonts w:hint="eastAsia" w:ascii="宋体" w:hAnsi="宋体" w:cs="宋体"/>
          <w:b/>
          <w:sz w:val="24"/>
          <w:szCs w:val="24"/>
        </w:rPr>
        <w:t>四、验收标准</w:t>
      </w:r>
    </w:p>
    <w:p>
      <w:pPr>
        <w:keepNext w:val="0"/>
        <w:keepLines w:val="0"/>
        <w:pageBreakBefore w:val="0"/>
        <w:kinsoku/>
        <w:wordWrap/>
        <w:overflowPunct/>
        <w:topLinePunct w:val="0"/>
        <w:autoSpaceDE/>
        <w:autoSpaceDN/>
        <w:bidi w:val="0"/>
        <w:spacing w:after="0" w:line="360" w:lineRule="auto"/>
        <w:ind w:right="0" w:firstLine="480" w:firstLineChars="200"/>
        <w:jc w:val="both"/>
        <w:textAlignment w:val="auto"/>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keepNext w:val="0"/>
        <w:keepLines w:val="0"/>
        <w:pageBreakBefore w:val="0"/>
        <w:tabs>
          <w:tab w:val="left" w:pos="735"/>
          <w:tab w:val="left" w:pos="900"/>
          <w:tab w:val="left" w:pos="945"/>
        </w:tabs>
        <w:kinsoku/>
        <w:wordWrap/>
        <w:overflowPunct/>
        <w:topLinePunct w:val="0"/>
        <w:autoSpaceDE/>
        <w:autoSpaceDN/>
        <w:bidi w:val="0"/>
        <w:adjustRightInd w:val="0"/>
        <w:snapToGrid w:val="0"/>
        <w:spacing w:after="0" w:line="360" w:lineRule="auto"/>
        <w:ind w:right="0" w:firstLine="482"/>
        <w:jc w:val="both"/>
        <w:textAlignment w:val="auto"/>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keepNext w:val="0"/>
        <w:keepLines w:val="0"/>
        <w:pageBreakBefore w:val="0"/>
        <w:tabs>
          <w:tab w:val="left" w:pos="735"/>
          <w:tab w:val="left" w:pos="900"/>
          <w:tab w:val="left" w:pos="945"/>
        </w:tabs>
        <w:kinsoku/>
        <w:wordWrap/>
        <w:overflowPunct/>
        <w:topLinePunct w:val="0"/>
        <w:autoSpaceDE/>
        <w:autoSpaceDN/>
        <w:bidi w:val="0"/>
        <w:adjustRightInd w:val="0"/>
        <w:snapToGrid w:val="0"/>
        <w:spacing w:after="0" w:line="360" w:lineRule="auto"/>
        <w:ind w:right="0" w:firstLine="482"/>
        <w:jc w:val="both"/>
        <w:textAlignment w:val="auto"/>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keepNext w:val="0"/>
        <w:keepLines w:val="0"/>
        <w:pageBreakBefore w:val="0"/>
        <w:tabs>
          <w:tab w:val="left" w:pos="735"/>
          <w:tab w:val="left" w:pos="900"/>
          <w:tab w:val="left" w:pos="945"/>
        </w:tabs>
        <w:kinsoku/>
        <w:wordWrap/>
        <w:overflowPunct/>
        <w:topLinePunct w:val="0"/>
        <w:autoSpaceDE/>
        <w:autoSpaceDN/>
        <w:bidi w:val="0"/>
        <w:adjustRightInd w:val="0"/>
        <w:snapToGrid w:val="0"/>
        <w:spacing w:after="0" w:line="360" w:lineRule="auto"/>
        <w:ind w:right="0" w:firstLine="482"/>
        <w:jc w:val="both"/>
        <w:textAlignment w:val="auto"/>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keepNext w:val="0"/>
        <w:keepLines w:val="0"/>
        <w:pageBreakBefore w:val="0"/>
        <w:tabs>
          <w:tab w:val="left" w:pos="900"/>
          <w:tab w:val="left" w:pos="945"/>
        </w:tabs>
        <w:kinsoku/>
        <w:wordWrap/>
        <w:overflowPunct/>
        <w:topLinePunct w:val="0"/>
        <w:autoSpaceDE/>
        <w:autoSpaceDN/>
        <w:bidi w:val="0"/>
        <w:adjustRightInd w:val="0"/>
        <w:spacing w:after="0" w:line="360" w:lineRule="auto"/>
        <w:ind w:right="0"/>
        <w:jc w:val="both"/>
        <w:textAlignment w:val="auto"/>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keepNext w:val="0"/>
        <w:keepLines w:val="0"/>
        <w:pageBreakBefore w:val="0"/>
        <w:tabs>
          <w:tab w:val="left" w:pos="900"/>
          <w:tab w:val="left" w:pos="945"/>
        </w:tabs>
        <w:kinsoku/>
        <w:wordWrap/>
        <w:overflowPunct/>
        <w:topLinePunct w:val="0"/>
        <w:autoSpaceDE/>
        <w:autoSpaceDN/>
        <w:bidi w:val="0"/>
        <w:adjustRightInd w:val="0"/>
        <w:spacing w:after="0" w:line="360" w:lineRule="auto"/>
        <w:ind w:right="0"/>
        <w:jc w:val="both"/>
        <w:textAlignment w:val="auto"/>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keepNext w:val="0"/>
        <w:keepLines w:val="0"/>
        <w:pageBreakBefore w:val="0"/>
        <w:tabs>
          <w:tab w:val="left" w:pos="900"/>
          <w:tab w:val="left" w:pos="945"/>
        </w:tabs>
        <w:kinsoku/>
        <w:wordWrap/>
        <w:overflowPunct/>
        <w:topLinePunct w:val="0"/>
        <w:autoSpaceDE/>
        <w:autoSpaceDN/>
        <w:bidi w:val="0"/>
        <w:adjustRightInd w:val="0"/>
        <w:spacing w:after="0" w:line="360" w:lineRule="auto"/>
        <w:ind w:right="0"/>
        <w:jc w:val="both"/>
        <w:textAlignment w:val="auto"/>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keepNext w:val="0"/>
        <w:keepLines w:val="0"/>
        <w:pageBreakBefore w:val="0"/>
        <w:tabs>
          <w:tab w:val="left" w:pos="900"/>
          <w:tab w:val="left" w:pos="945"/>
        </w:tabs>
        <w:kinsoku/>
        <w:wordWrap/>
        <w:overflowPunct/>
        <w:topLinePunct w:val="0"/>
        <w:autoSpaceDE/>
        <w:autoSpaceDN/>
        <w:bidi w:val="0"/>
        <w:adjustRightInd w:val="0"/>
        <w:spacing w:after="0" w:line="360" w:lineRule="auto"/>
        <w:ind w:right="0"/>
        <w:jc w:val="both"/>
        <w:textAlignment w:val="auto"/>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keepNext w:val="0"/>
        <w:keepLines w:val="0"/>
        <w:pageBreakBefore w:val="0"/>
        <w:kinsoku/>
        <w:wordWrap/>
        <w:overflowPunct/>
        <w:topLinePunct w:val="0"/>
        <w:autoSpaceDE/>
        <w:autoSpaceDN/>
        <w:bidi w:val="0"/>
        <w:spacing w:after="0" w:line="360" w:lineRule="auto"/>
        <w:ind w:right="0"/>
        <w:jc w:val="both"/>
        <w:textAlignment w:val="auto"/>
        <w:rPr>
          <w:rFonts w:ascii="宋体" w:hAns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keepNext w:val="0"/>
        <w:keepLines w:val="0"/>
        <w:pageBreakBefore w:val="0"/>
        <w:numPr>
          <w:ilvl w:val="0"/>
          <w:numId w:val="4"/>
        </w:numPr>
        <w:kinsoku/>
        <w:wordWrap/>
        <w:overflowPunct/>
        <w:topLinePunct w:val="0"/>
        <w:autoSpaceDE/>
        <w:autoSpaceDN/>
        <w:bidi w:val="0"/>
        <w:spacing w:after="0" w:line="360" w:lineRule="auto"/>
        <w:ind w:right="0"/>
        <w:jc w:val="center"/>
        <w:textAlignment w:val="auto"/>
        <w:rPr>
          <w:rFonts w:hint="eastAsia"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投标文件样式</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eastAsia="方正小标宋简体"/>
          <w:color w:val="000000"/>
          <w:sz w:val="32"/>
          <w:szCs w:val="3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keepNext w:val="0"/>
        <w:keepLines w:val="0"/>
        <w:pageBreakBefore w:val="0"/>
        <w:kinsoku/>
        <w:wordWrap/>
        <w:overflowPunct/>
        <w:topLinePunct w:val="0"/>
        <w:autoSpaceDE/>
        <w:autoSpaceDN/>
        <w:bidi w:val="0"/>
        <w:adjustRightInd/>
        <w:spacing w:after="0" w:line="360" w:lineRule="auto"/>
        <w:ind w:left="0" w:leftChars="0" w:right="0" w:rightChars="0"/>
        <w:jc w:val="center"/>
        <w:textAlignment w:val="auto"/>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textAlignment w:val="auto"/>
        <w:rPr>
          <w:color w:val="000000"/>
          <w:sz w:val="24"/>
        </w:rPr>
      </w:pPr>
      <w:r>
        <w:rPr>
          <w:rFonts w:hint="eastAsia"/>
          <w:color w:val="000000"/>
          <w:sz w:val="24"/>
        </w:rPr>
        <w:t>淮阴工学院招投标办公室：</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564" w:firstLineChars="235"/>
        <w:textAlignment w:val="auto"/>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rPr>
      </w:pPr>
      <w:r>
        <w:rPr>
          <w:color w:val="000000"/>
          <w:sz w:val="24"/>
        </w:rPr>
        <w:t>8</w:t>
      </w:r>
      <w:r>
        <w:rPr>
          <w:rFonts w:hint="eastAsia"/>
          <w:color w:val="000000"/>
          <w:sz w:val="24"/>
        </w:rPr>
        <w:t>．与本次招投标有关的事宜请按以下信息联系：</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480" w:firstLineChars="200"/>
        <w:textAlignment w:val="auto"/>
        <w:rPr>
          <w:color w:val="000000"/>
          <w:sz w:val="24"/>
          <w:u w:val="single"/>
        </w:rPr>
      </w:pPr>
      <w:r>
        <w:rPr>
          <w:rFonts w:hint="eastAsia"/>
          <w:color w:val="000000"/>
          <w:sz w:val="24"/>
        </w:rPr>
        <w:t>投标日期：</w:t>
      </w:r>
      <w:r>
        <w:rPr>
          <w:color w:val="000000"/>
          <w:sz w:val="24"/>
          <w:u w:val="single"/>
        </w:rPr>
        <w:t xml:space="preserve">                                     </w:t>
      </w:r>
      <w:bookmarkStart w:id="0" w:name="OLE_LINK1"/>
      <w:bookmarkStart w:id="1" w:name="OLE_LINK2"/>
      <w:r>
        <w:rPr>
          <w:color w:val="000000"/>
          <w:sz w:val="24"/>
          <w:u w:val="single"/>
        </w:rPr>
        <w:t xml:space="preserve"> </w:t>
      </w:r>
    </w:p>
    <w:bookmarkEnd w:id="0"/>
    <w:bookmarkEnd w:id="1"/>
    <w:p>
      <w:pPr>
        <w:keepNext w:val="0"/>
        <w:keepLines w:val="0"/>
        <w:pageBreakBefore w:val="0"/>
        <w:kinsoku/>
        <w:wordWrap/>
        <w:overflowPunct/>
        <w:topLinePunct w:val="0"/>
        <w:autoSpaceDE/>
        <w:autoSpaceDN/>
        <w:bidi w:val="0"/>
        <w:adjustRightInd/>
        <w:snapToGrid w:val="0"/>
        <w:spacing w:after="0" w:line="360" w:lineRule="auto"/>
        <w:ind w:left="0" w:leftChars="0" w:right="0" w:rightChars="0"/>
        <w:jc w:val="center"/>
        <w:textAlignment w:val="auto"/>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251657216;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法定代表人姓名（签名）：</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58240;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58240;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kern w:val="0"/>
          <w:sz w:val="24"/>
          <w:szCs w:val="24"/>
        </w:rPr>
      </w:pPr>
      <w:r>
        <w:rPr>
          <w:rFonts w:hint="eastAsia"/>
          <w:color w:val="000000"/>
          <w:kern w:val="0"/>
          <w:sz w:val="24"/>
          <w:szCs w:val="24"/>
        </w:rPr>
        <w:t>投标人（加盖公章）：</w:t>
      </w:r>
    </w:p>
    <w:p>
      <w:pPr>
        <w:spacing w:line="520" w:lineRule="exact"/>
        <w:rPr>
          <w:color w:val="000000"/>
          <w:kern w:val="0"/>
          <w:sz w:val="24"/>
          <w:szCs w:val="24"/>
        </w:rPr>
      </w:pPr>
      <w:r>
        <w:rPr>
          <w:rFonts w:hint="eastAsia"/>
          <w:color w:val="000000"/>
          <w:kern w:val="0"/>
          <w:sz w:val="24"/>
          <w:szCs w:val="24"/>
        </w:rPr>
        <w:t>法定代表人或其授权委托人（签名或签章）：</w:t>
      </w:r>
    </w:p>
    <w:p>
      <w:pPr>
        <w:spacing w:line="520" w:lineRule="exac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6"/>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6"/>
        <w:spacing w:line="440" w:lineRule="exact"/>
        <w:jc w:val="center"/>
        <w:rPr>
          <w:rFonts w:ascii="Times New Roman" w:hAnsi="Times New Roman"/>
          <w:b/>
          <w:color w:val="000000"/>
          <w:sz w:val="32"/>
        </w:rPr>
      </w:pPr>
    </w:p>
    <w:tbl>
      <w:tblPr>
        <w:tblStyle w:val="12"/>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kern w:val="0"/>
          <w:sz w:val="24"/>
          <w:szCs w:val="24"/>
        </w:rPr>
      </w:pPr>
      <w:r>
        <w:rPr>
          <w:rFonts w:hint="eastAsia"/>
          <w:color w:val="000000"/>
          <w:kern w:val="0"/>
          <w:sz w:val="24"/>
          <w:szCs w:val="24"/>
        </w:rPr>
        <w:t>投标人（加盖公章）：</w:t>
      </w:r>
    </w:p>
    <w:p>
      <w:pPr>
        <w:spacing w:line="520" w:lineRule="exact"/>
        <w:rPr>
          <w:color w:val="000000"/>
          <w:kern w:val="0"/>
          <w:sz w:val="24"/>
          <w:szCs w:val="24"/>
        </w:rPr>
      </w:pPr>
      <w:r>
        <w:rPr>
          <w:rFonts w:hint="eastAsia"/>
          <w:color w:val="000000"/>
          <w:kern w:val="0"/>
          <w:sz w:val="24"/>
          <w:szCs w:val="24"/>
        </w:rPr>
        <w:t>法定代表人或其授权委托人（签名或签章）：</w:t>
      </w:r>
    </w:p>
    <w:p>
      <w:pPr>
        <w:spacing w:line="520" w:lineRule="exac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spacing w:line="520" w:lineRule="exact"/>
        <w:rPr>
          <w:color w:val="000000"/>
          <w:kern w:val="0"/>
          <w:sz w:val="24"/>
          <w:szCs w:val="24"/>
        </w:rPr>
      </w:pPr>
      <w:r>
        <w:rPr>
          <w:rFonts w:hint="eastAsia"/>
          <w:color w:val="000000"/>
          <w:kern w:val="0"/>
          <w:sz w:val="24"/>
          <w:szCs w:val="24"/>
        </w:rPr>
        <w:t>投标人（加盖公章）：</w:t>
      </w:r>
    </w:p>
    <w:p>
      <w:pPr>
        <w:spacing w:line="520" w:lineRule="exact"/>
        <w:rPr>
          <w:color w:val="000000"/>
          <w:kern w:val="0"/>
          <w:sz w:val="24"/>
          <w:szCs w:val="24"/>
        </w:rPr>
      </w:pPr>
      <w:r>
        <w:rPr>
          <w:rFonts w:hint="eastAsia"/>
          <w:color w:val="000000"/>
          <w:kern w:val="0"/>
          <w:sz w:val="24"/>
          <w:szCs w:val="24"/>
        </w:rPr>
        <w:t>法定代表人或其授权委托人（签名或签章）：</w:t>
      </w:r>
    </w:p>
    <w:p>
      <w:pPr>
        <w:spacing w:line="520" w:lineRule="exac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autoSpaceDE w:val="0"/>
        <w:autoSpaceDN w:val="0"/>
        <w:adjustRightInd w:val="0"/>
        <w:spacing w:line="720" w:lineRule="exact"/>
        <w:jc w:val="center"/>
        <w:rPr>
          <w:rFonts w:ascii="宋体" w:cs="楷体_GB2312"/>
          <w:sz w:val="28"/>
          <w:szCs w:val="28"/>
          <w:lang w:val="zh-CN"/>
        </w:rPr>
      </w:pP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eastAsia="方正小标宋简体"/>
          <w:color w:val="000000"/>
          <w:kern w:val="0"/>
          <w:sz w:val="32"/>
          <w:szCs w:val="32"/>
        </w:rPr>
        <w:t xml:space="preserve"> </w:t>
      </w:r>
      <w:r>
        <w:rPr>
          <w:rFonts w:hint="eastAsia" w:eastAsia="方正小标宋简体"/>
          <w:color w:val="000000"/>
          <w:kern w:val="0"/>
          <w:sz w:val="32"/>
          <w:szCs w:val="32"/>
        </w:rPr>
        <w:t>投标人</w:t>
      </w:r>
      <w:r>
        <w:rPr>
          <w:rFonts w:eastAsia="方正小标宋简体"/>
          <w:color w:val="000000"/>
          <w:kern w:val="0"/>
          <w:sz w:val="32"/>
          <w:szCs w:val="32"/>
        </w:rPr>
        <w:t>2016</w:t>
      </w:r>
      <w:r>
        <w:rPr>
          <w:rFonts w:hint="eastAsia" w:eastAsia="方正小标宋简体"/>
          <w:color w:val="000000"/>
          <w:kern w:val="0"/>
          <w:sz w:val="32"/>
          <w:szCs w:val="32"/>
        </w:rPr>
        <w:t>年</w:t>
      </w:r>
      <w:r>
        <w:rPr>
          <w:rFonts w:hint="eastAsia" w:eastAsia="方正小标宋简体"/>
          <w:color w:val="000000"/>
          <w:kern w:val="0"/>
          <w:sz w:val="32"/>
          <w:szCs w:val="32"/>
          <w:lang w:val="en-US" w:eastAsia="zh-CN"/>
        </w:rPr>
        <w:t>1月</w:t>
      </w:r>
      <w:r>
        <w:rPr>
          <w:rFonts w:hint="eastAsia" w:eastAsia="方正小标宋简体"/>
          <w:color w:val="000000"/>
          <w:kern w:val="0"/>
          <w:sz w:val="32"/>
          <w:szCs w:val="32"/>
        </w:rPr>
        <w:t>以来业绩一览表</w:t>
      </w:r>
    </w:p>
    <w:p/>
    <w:tbl>
      <w:tblPr>
        <w:tblStyle w:val="1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备注：请填报与本项目直接相关的供货业绩；须附</w:t>
      </w:r>
      <w:r>
        <w:rPr>
          <w:rFonts w:hint="eastAsia" w:ascii="宋体" w:hAnsi="宋体" w:cs="宋体"/>
          <w:color w:val="000000"/>
          <w:kern w:val="0"/>
          <w:szCs w:val="21"/>
        </w:rPr>
        <w:t>供货合同复印件和验收报告。</w:t>
      </w:r>
    </w:p>
    <w:p>
      <w:pPr>
        <w:jc w:val="center"/>
        <w:rPr>
          <w:rFonts w:ascii="宋体"/>
          <w:b/>
          <w:color w:val="000000"/>
          <w:sz w:val="36"/>
          <w:szCs w:val="36"/>
        </w:rPr>
      </w:pPr>
    </w:p>
    <w:p>
      <w:pPr>
        <w:spacing w:line="520" w:lineRule="exact"/>
        <w:rPr>
          <w:color w:val="000000"/>
          <w:kern w:val="0"/>
          <w:sz w:val="24"/>
          <w:szCs w:val="24"/>
        </w:rPr>
      </w:pPr>
      <w:r>
        <w:rPr>
          <w:rFonts w:hint="eastAsia"/>
          <w:color w:val="000000"/>
          <w:kern w:val="0"/>
          <w:sz w:val="24"/>
          <w:szCs w:val="24"/>
        </w:rPr>
        <w:t>投标人（加盖公章）：</w:t>
      </w:r>
    </w:p>
    <w:p>
      <w:pPr>
        <w:spacing w:line="520" w:lineRule="exact"/>
        <w:rPr>
          <w:color w:val="000000"/>
          <w:kern w:val="0"/>
          <w:sz w:val="24"/>
          <w:szCs w:val="24"/>
        </w:rPr>
      </w:pPr>
      <w:r>
        <w:rPr>
          <w:rFonts w:hint="eastAsia"/>
          <w:color w:val="000000"/>
          <w:kern w:val="0"/>
          <w:sz w:val="24"/>
          <w:szCs w:val="24"/>
        </w:rPr>
        <w:t>法定代表人或其授权委托人（签名或签章）：</w:t>
      </w:r>
    </w:p>
    <w:p>
      <w:pPr>
        <w:spacing w:line="520" w:lineRule="exac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2"/>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eastAsia="方正小标宋简体"/>
          <w:bCs/>
          <w:sz w:val="32"/>
          <w:szCs w:val="32"/>
        </w:rPr>
      </w:pPr>
      <w:r>
        <w:rPr>
          <w:rFonts w:ascii="方正小标宋简体" w:hAnsi="仿宋" w:eastAsia="方正小标宋简体"/>
          <w:sz w:val="32"/>
          <w:szCs w:val="32"/>
        </w:rPr>
        <w:br w:type="page"/>
      </w:r>
      <w:r>
        <w:rPr>
          <w:rFonts w:hint="eastAsia" w:eastAsia="方正小标宋简体"/>
          <w:sz w:val="32"/>
          <w:szCs w:val="32"/>
        </w:rPr>
        <w:t>十</w:t>
      </w:r>
      <w:r>
        <w:rPr>
          <w:rFonts w:eastAsia="方正小标宋简体"/>
          <w:sz w:val="32"/>
          <w:szCs w:val="32"/>
        </w:rPr>
        <w:t xml:space="preserve">  </w:t>
      </w:r>
      <w:r>
        <w:rPr>
          <w:rFonts w:hint="eastAsia" w:eastAsia="方正小标宋简体"/>
          <w:bCs/>
          <w:sz w:val="32"/>
          <w:szCs w:val="32"/>
        </w:rPr>
        <w:t>履约保证金退还申请单</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0"/>
        <w:textAlignment w:val="auto"/>
        <w:rPr>
          <w:bCs/>
          <w:sz w:val="24"/>
          <w:szCs w:val="24"/>
        </w:rPr>
      </w:pPr>
      <w:r>
        <w:rPr>
          <w:rFonts w:hint="eastAsia"/>
          <w:bCs/>
          <w:sz w:val="24"/>
          <w:szCs w:val="24"/>
        </w:rPr>
        <w:t>致淮阴工学院</w:t>
      </w:r>
      <w:r>
        <w:rPr>
          <w:bCs/>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453" w:firstLineChars="189"/>
        <w:jc w:val="left"/>
        <w:textAlignment w:val="auto"/>
        <w:rPr>
          <w:sz w:val="24"/>
          <w:szCs w:val="24"/>
        </w:rPr>
      </w:pPr>
      <w:r>
        <w:rPr>
          <w:rFonts w:hint="eastAsia"/>
          <w:sz w:val="24"/>
          <w:szCs w:val="24"/>
        </w:rPr>
        <w:t>我单位中标了贵校组织实施的（项目名称及项目编号）的采购活动。目前，我单位已按招标文件规定及投标文件承诺履行完相关义务，项目已经通过贵校验收，符合保证金退还的条件，现向贵校申请退还我单位交纳的本项目履约保证金元。</w:t>
      </w: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color w:val="000000"/>
          <w:sz w:val="24"/>
          <w:szCs w:val="24"/>
        </w:rPr>
      </w:pPr>
      <w:r>
        <w:rPr>
          <w:rFonts w:hint="eastAsia"/>
          <w:color w:val="000000"/>
          <w:sz w:val="24"/>
          <w:szCs w:val="24"/>
        </w:rPr>
        <w:t>投标保证金退款具体信息见下表，我单位保证所提供信息的准确性，否则责任自负。</w:t>
      </w:r>
    </w:p>
    <w:tbl>
      <w:tblPr>
        <w:tblStyle w:val="12"/>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单位账户名称</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开户行详细信息（具体至支行）</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退款账号（退款至原汇款、转账账号）</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联系人</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联系电话</w:t>
            </w:r>
          </w:p>
        </w:tc>
        <w:tc>
          <w:tcPr>
            <w:tcW w:w="5446" w:type="dxa"/>
            <w:vAlign w:val="center"/>
          </w:tcPr>
          <w:p>
            <w:pPr>
              <w:rPr>
                <w:color w:val="000000"/>
                <w:szCs w:val="21"/>
              </w:rPr>
            </w:pPr>
            <w:r>
              <w:rPr>
                <w:rFonts w:hint="eastAsia"/>
                <w:color w:val="000000"/>
                <w:szCs w:val="21"/>
              </w:rPr>
              <w:t>手机：办公电话：</w:t>
            </w:r>
          </w:p>
        </w:tc>
      </w:tr>
    </w:tbl>
    <w:p>
      <w:pPr>
        <w:keepNext w:val="0"/>
        <w:keepLines w:val="0"/>
        <w:pageBreakBefore w:val="0"/>
        <w:widowControl w:val="0"/>
        <w:kinsoku/>
        <w:wordWrap/>
        <w:overflowPunct/>
        <w:topLinePunct w:val="0"/>
        <w:autoSpaceDE/>
        <w:autoSpaceDN/>
        <w:bidi w:val="0"/>
        <w:adjustRightInd/>
        <w:snapToGrid/>
        <w:spacing w:after="0"/>
        <w:textAlignment w:val="auto"/>
        <w:rPr>
          <w:szCs w:val="21"/>
        </w:rPr>
      </w:pPr>
      <w:r>
        <w:rPr>
          <w:rFonts w:hint="eastAsia"/>
          <w:szCs w:val="21"/>
        </w:rPr>
        <w:t>备注：本项材料不装订在招标文件中，须附履约保证金收据。在通过验收后，想项目使用单位提出申请办理。</w:t>
      </w:r>
    </w:p>
    <w:p>
      <w:pPr>
        <w:keepNext w:val="0"/>
        <w:keepLines w:val="0"/>
        <w:pageBreakBefore w:val="0"/>
        <w:widowControl w:val="0"/>
        <w:kinsoku/>
        <w:wordWrap/>
        <w:overflowPunct/>
        <w:topLinePunct w:val="0"/>
        <w:autoSpaceDE/>
        <w:autoSpaceDN/>
        <w:bidi w:val="0"/>
        <w:adjustRightInd/>
        <w:snapToGrid/>
        <w:spacing w:after="0" w:line="480" w:lineRule="exact"/>
        <w:textAlignment w:val="auto"/>
        <w:rPr>
          <w:color w:val="000000"/>
          <w:sz w:val="24"/>
          <w:szCs w:val="24"/>
        </w:rPr>
      </w:pPr>
      <w:r>
        <w:rPr>
          <w:rFonts w:hint="eastAsia"/>
          <w:color w:val="000000"/>
          <w:sz w:val="24"/>
          <w:szCs w:val="24"/>
        </w:rPr>
        <w:t>投标人名称：（名称</w:t>
      </w:r>
      <w:r>
        <w:rPr>
          <w:color w:val="000000"/>
          <w:sz w:val="24"/>
          <w:szCs w:val="24"/>
        </w:rPr>
        <w:t>+</w:t>
      </w:r>
      <w:r>
        <w:rPr>
          <w:rFonts w:hint="eastAsia"/>
          <w:color w:val="000000"/>
          <w:sz w:val="24"/>
          <w:szCs w:val="24"/>
        </w:rPr>
        <w:t>公章）</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color w:val="000000"/>
          <w:kern w:val="0"/>
          <w:sz w:val="24"/>
          <w:szCs w:val="24"/>
        </w:rPr>
      </w:pPr>
      <w:r>
        <w:rPr>
          <w:rFonts w:hint="eastAsia"/>
          <w:color w:val="000000"/>
          <w:sz w:val="24"/>
          <w:szCs w:val="24"/>
        </w:rPr>
        <w:t>授权委托人</w:t>
      </w:r>
      <w:r>
        <w:rPr>
          <w:rFonts w:hint="eastAsia"/>
          <w:color w:val="000000"/>
          <w:kern w:val="0"/>
          <w:sz w:val="24"/>
          <w:szCs w:val="24"/>
        </w:rPr>
        <w:t>（签名或签章）：</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spacing w:line="480" w:lineRule="exact"/>
        <w:jc w:val="center"/>
        <w:rPr>
          <w:rFonts w:eastAsia="方正小标宋简体"/>
          <w:color w:val="000000"/>
          <w:sz w:val="30"/>
          <w:szCs w:val="30"/>
        </w:rPr>
      </w:pPr>
      <w:r>
        <w:rPr>
          <w:rFonts w:hint="eastAsia" w:eastAsia="方正小标宋简体"/>
          <w:bCs/>
          <w:sz w:val="30"/>
          <w:szCs w:val="30"/>
        </w:rPr>
        <w:t>履约保证金退还流程表</w:t>
      </w:r>
    </w:p>
    <w:tbl>
      <w:tblPr>
        <w:tblStyle w:val="1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19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315" w:hanging="315" w:hangingChars="150"/>
              <w:jc w:val="center"/>
              <w:textAlignment w:val="auto"/>
              <w:rPr>
                <w:color w:val="000000"/>
                <w:szCs w:val="21"/>
              </w:rPr>
            </w:pPr>
            <w:r>
              <w:rPr>
                <w:rFonts w:hint="eastAsia"/>
                <w:color w:val="000000"/>
                <w:szCs w:val="21"/>
              </w:rPr>
              <w:t>项目使用单位</w:t>
            </w:r>
          </w:p>
          <w:p>
            <w:pPr>
              <w:keepNext w:val="0"/>
              <w:keepLines w:val="0"/>
              <w:pageBreakBefore w:val="0"/>
              <w:widowControl w:val="0"/>
              <w:kinsoku/>
              <w:wordWrap/>
              <w:overflowPunct/>
              <w:topLinePunct w:val="0"/>
              <w:autoSpaceDE/>
              <w:autoSpaceDN/>
              <w:bidi w:val="0"/>
              <w:adjustRightInd/>
              <w:snapToGrid/>
              <w:spacing w:after="0" w:line="240" w:lineRule="auto"/>
              <w:ind w:left="315" w:hanging="315" w:hangingChars="150"/>
              <w:jc w:val="center"/>
              <w:textAlignment w:val="auto"/>
              <w:rPr>
                <w:color w:val="000000"/>
                <w:szCs w:val="21"/>
              </w:rPr>
            </w:pPr>
            <w:r>
              <w:rPr>
                <w:rFonts w:hint="eastAsia"/>
                <w:color w:val="000000"/>
                <w:szCs w:val="21"/>
              </w:rPr>
              <w:t>经办人意见</w:t>
            </w:r>
          </w:p>
        </w:tc>
        <w:tc>
          <w:tcPr>
            <w:tcW w:w="65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szCs w:val="21"/>
              </w:rPr>
            </w:pPr>
            <w:r>
              <w:rPr>
                <w:rFonts w:hint="eastAsia"/>
                <w:color w:val="000000"/>
                <w:szCs w:val="21"/>
              </w:rPr>
              <w:t>（是否通过验收）</w:t>
            </w:r>
          </w:p>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color w:val="000000"/>
                <w:szCs w:val="21"/>
              </w:rPr>
            </w:pPr>
            <w:r>
              <w:rPr>
                <w:rFonts w:hint="eastAsia"/>
                <w:color w:val="000000"/>
                <w:szCs w:val="21"/>
              </w:rPr>
              <w:t>经办人：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19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000000"/>
                <w:szCs w:val="21"/>
              </w:rPr>
            </w:pPr>
            <w:r>
              <w:rPr>
                <w:rFonts w:hint="eastAsia"/>
                <w:color w:val="000000"/>
                <w:szCs w:val="21"/>
              </w:rPr>
              <w:t>项目使用单位</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000000"/>
                <w:szCs w:val="21"/>
              </w:rPr>
            </w:pPr>
            <w:r>
              <w:rPr>
                <w:rFonts w:hint="eastAsia"/>
                <w:color w:val="000000"/>
                <w:szCs w:val="21"/>
              </w:rPr>
              <w:t>分管负责人意见</w:t>
            </w:r>
          </w:p>
        </w:tc>
        <w:tc>
          <w:tcPr>
            <w:tcW w:w="65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000000"/>
                <w:szCs w:val="21"/>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000000"/>
                <w:szCs w:val="21"/>
              </w:rPr>
            </w:pP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9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000000"/>
                <w:szCs w:val="21"/>
              </w:rPr>
            </w:pPr>
            <w:r>
              <w:rPr>
                <w:rFonts w:hint="eastAsia"/>
                <w:color w:val="000000"/>
                <w:szCs w:val="21"/>
              </w:rPr>
              <w:t>项目主管部门</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color w:val="000000"/>
                <w:szCs w:val="21"/>
              </w:rPr>
            </w:pPr>
            <w:r>
              <w:rPr>
                <w:rFonts w:hint="eastAsia"/>
                <w:color w:val="000000"/>
                <w:szCs w:val="21"/>
              </w:rPr>
              <w:t>意见</w:t>
            </w:r>
          </w:p>
        </w:tc>
        <w:tc>
          <w:tcPr>
            <w:tcW w:w="65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000000"/>
                <w:szCs w:val="21"/>
              </w:rPr>
            </w:pP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bl>
    <w:p/>
    <w:sectPr>
      <w:headerReference r:id="rId5" w:type="first"/>
      <w:footerReference r:id="rId8" w:type="first"/>
      <w:headerReference r:id="rId3" w:type="default"/>
      <w:footerReference r:id="rId6" w:type="default"/>
      <w:headerReference r:id="rId4" w:type="even"/>
      <w:footerReference r:id="rId7"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18</w:t>
    </w:r>
    <w:r>
      <w:fldChar w:fldCharType="end"/>
    </w:r>
  </w:p>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EF418"/>
    <w:multiLevelType w:val="singleLevel"/>
    <w:tmpl w:val="8B1EF418"/>
    <w:lvl w:ilvl="0" w:tentative="0">
      <w:start w:val="4"/>
      <w:numFmt w:val="chineseCounting"/>
      <w:suff w:val="space"/>
      <w:lvlText w:val="第%1章"/>
      <w:lvlJc w:val="left"/>
      <w:rPr>
        <w:rFonts w:hint="eastAsia"/>
      </w:rPr>
    </w:lvl>
  </w:abstractNum>
  <w:abstractNum w:abstractNumId="1">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2">
    <w:nsid w:val="650A7C24"/>
    <w:multiLevelType w:val="singleLevel"/>
    <w:tmpl w:val="650A7C24"/>
    <w:lvl w:ilvl="0" w:tentative="0">
      <w:start w:val="1"/>
      <w:numFmt w:val="decimal"/>
      <w:lvlText w:val="%1."/>
      <w:lvlJc w:val="left"/>
      <w:pPr>
        <w:tabs>
          <w:tab w:val="left" w:pos="312"/>
        </w:tabs>
      </w:pPr>
      <w:rPr>
        <w:rFonts w:cs="Times New Roman"/>
      </w:rPr>
    </w:lvl>
  </w:abstractNum>
  <w:abstractNum w:abstractNumId="3">
    <w:nsid w:val="6F990E07"/>
    <w:multiLevelType w:val="multilevel"/>
    <w:tmpl w:val="6F990E07"/>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3D8"/>
    <w:rsid w:val="00003108"/>
    <w:rsid w:val="000100ED"/>
    <w:rsid w:val="00014005"/>
    <w:rsid w:val="000144E9"/>
    <w:rsid w:val="000157D6"/>
    <w:rsid w:val="00017890"/>
    <w:rsid w:val="000265D9"/>
    <w:rsid w:val="00030BFE"/>
    <w:rsid w:val="000342F2"/>
    <w:rsid w:val="00035CFA"/>
    <w:rsid w:val="00037A44"/>
    <w:rsid w:val="000433B2"/>
    <w:rsid w:val="00045B5E"/>
    <w:rsid w:val="000478B3"/>
    <w:rsid w:val="00047B69"/>
    <w:rsid w:val="00047E25"/>
    <w:rsid w:val="00055323"/>
    <w:rsid w:val="00056E5E"/>
    <w:rsid w:val="00056FF7"/>
    <w:rsid w:val="0006064C"/>
    <w:rsid w:val="00061FE6"/>
    <w:rsid w:val="00062965"/>
    <w:rsid w:val="0007143D"/>
    <w:rsid w:val="00071B54"/>
    <w:rsid w:val="00071D88"/>
    <w:rsid w:val="00073BF5"/>
    <w:rsid w:val="0007566C"/>
    <w:rsid w:val="0007610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686E"/>
    <w:rsid w:val="000B7F28"/>
    <w:rsid w:val="000C220D"/>
    <w:rsid w:val="000C3243"/>
    <w:rsid w:val="000C3DB4"/>
    <w:rsid w:val="000C5CCA"/>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35F84"/>
    <w:rsid w:val="0014296F"/>
    <w:rsid w:val="00146573"/>
    <w:rsid w:val="00150973"/>
    <w:rsid w:val="00150DC5"/>
    <w:rsid w:val="00151324"/>
    <w:rsid w:val="001516FC"/>
    <w:rsid w:val="00152DB1"/>
    <w:rsid w:val="00154A97"/>
    <w:rsid w:val="00156A0F"/>
    <w:rsid w:val="00170627"/>
    <w:rsid w:val="001706A3"/>
    <w:rsid w:val="001709E5"/>
    <w:rsid w:val="001767F2"/>
    <w:rsid w:val="00176A63"/>
    <w:rsid w:val="00182B40"/>
    <w:rsid w:val="00183749"/>
    <w:rsid w:val="00183B90"/>
    <w:rsid w:val="00184BC8"/>
    <w:rsid w:val="0018524D"/>
    <w:rsid w:val="001857E7"/>
    <w:rsid w:val="00190D36"/>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60BA"/>
    <w:rsid w:val="001F6B29"/>
    <w:rsid w:val="001F7EAC"/>
    <w:rsid w:val="00200DF3"/>
    <w:rsid w:val="0020155E"/>
    <w:rsid w:val="002069CB"/>
    <w:rsid w:val="002079E6"/>
    <w:rsid w:val="00216190"/>
    <w:rsid w:val="002162E3"/>
    <w:rsid w:val="002169CB"/>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4879"/>
    <w:rsid w:val="00314E00"/>
    <w:rsid w:val="00315A8A"/>
    <w:rsid w:val="00321127"/>
    <w:rsid w:val="00321A8A"/>
    <w:rsid w:val="00335CE0"/>
    <w:rsid w:val="003368E5"/>
    <w:rsid w:val="00337E4B"/>
    <w:rsid w:val="003402E6"/>
    <w:rsid w:val="0034035D"/>
    <w:rsid w:val="0034176E"/>
    <w:rsid w:val="00342244"/>
    <w:rsid w:val="00345290"/>
    <w:rsid w:val="00345D48"/>
    <w:rsid w:val="0036034F"/>
    <w:rsid w:val="0036204F"/>
    <w:rsid w:val="0036213F"/>
    <w:rsid w:val="00363C01"/>
    <w:rsid w:val="003646DA"/>
    <w:rsid w:val="00367BCC"/>
    <w:rsid w:val="00374B29"/>
    <w:rsid w:val="003769E1"/>
    <w:rsid w:val="0038013D"/>
    <w:rsid w:val="00381A7A"/>
    <w:rsid w:val="0038645C"/>
    <w:rsid w:val="003941DA"/>
    <w:rsid w:val="00397C2F"/>
    <w:rsid w:val="003A0DA2"/>
    <w:rsid w:val="003A10C6"/>
    <w:rsid w:val="003A35EB"/>
    <w:rsid w:val="003A5449"/>
    <w:rsid w:val="003A56D3"/>
    <w:rsid w:val="003A7F29"/>
    <w:rsid w:val="003B445F"/>
    <w:rsid w:val="003B51D3"/>
    <w:rsid w:val="003B7351"/>
    <w:rsid w:val="003C12AB"/>
    <w:rsid w:val="003C2AF6"/>
    <w:rsid w:val="003C3F1B"/>
    <w:rsid w:val="003D0578"/>
    <w:rsid w:val="003D1E7B"/>
    <w:rsid w:val="003D5614"/>
    <w:rsid w:val="003D7765"/>
    <w:rsid w:val="003E46D1"/>
    <w:rsid w:val="003E73B4"/>
    <w:rsid w:val="003F3D31"/>
    <w:rsid w:val="003F4121"/>
    <w:rsid w:val="003F41D3"/>
    <w:rsid w:val="003F486A"/>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49E4"/>
    <w:rsid w:val="00445BEC"/>
    <w:rsid w:val="00445D8C"/>
    <w:rsid w:val="004505BC"/>
    <w:rsid w:val="00462DC7"/>
    <w:rsid w:val="004632BC"/>
    <w:rsid w:val="00463958"/>
    <w:rsid w:val="004646CA"/>
    <w:rsid w:val="00464F7B"/>
    <w:rsid w:val="00472C84"/>
    <w:rsid w:val="00473990"/>
    <w:rsid w:val="00473F9E"/>
    <w:rsid w:val="00474B9B"/>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4872"/>
    <w:rsid w:val="005348DE"/>
    <w:rsid w:val="005448C0"/>
    <w:rsid w:val="00545FF0"/>
    <w:rsid w:val="00553274"/>
    <w:rsid w:val="005559A2"/>
    <w:rsid w:val="00557B9E"/>
    <w:rsid w:val="00562D14"/>
    <w:rsid w:val="00562D30"/>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E0170"/>
    <w:rsid w:val="005E7195"/>
    <w:rsid w:val="005F0BC0"/>
    <w:rsid w:val="005F3C27"/>
    <w:rsid w:val="005F690E"/>
    <w:rsid w:val="005F6C2C"/>
    <w:rsid w:val="00600715"/>
    <w:rsid w:val="00600A66"/>
    <w:rsid w:val="00600E77"/>
    <w:rsid w:val="00601435"/>
    <w:rsid w:val="0060236D"/>
    <w:rsid w:val="00610E5C"/>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6162F"/>
    <w:rsid w:val="006626A1"/>
    <w:rsid w:val="0066452C"/>
    <w:rsid w:val="00670D6A"/>
    <w:rsid w:val="006811FD"/>
    <w:rsid w:val="006844CA"/>
    <w:rsid w:val="00685174"/>
    <w:rsid w:val="00690775"/>
    <w:rsid w:val="00691453"/>
    <w:rsid w:val="0069229A"/>
    <w:rsid w:val="00697DD7"/>
    <w:rsid w:val="006A0CA0"/>
    <w:rsid w:val="006A1681"/>
    <w:rsid w:val="006A2C44"/>
    <w:rsid w:val="006A4E85"/>
    <w:rsid w:val="006B188D"/>
    <w:rsid w:val="006B2B19"/>
    <w:rsid w:val="006B2E1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2286"/>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D373F"/>
    <w:rsid w:val="007D76B6"/>
    <w:rsid w:val="007F3DF6"/>
    <w:rsid w:val="007F4F98"/>
    <w:rsid w:val="007F5485"/>
    <w:rsid w:val="007F6A21"/>
    <w:rsid w:val="00800D73"/>
    <w:rsid w:val="00801164"/>
    <w:rsid w:val="00802810"/>
    <w:rsid w:val="0080331B"/>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571C"/>
    <w:rsid w:val="008B7E13"/>
    <w:rsid w:val="008B7F5A"/>
    <w:rsid w:val="008D2926"/>
    <w:rsid w:val="008D6A9F"/>
    <w:rsid w:val="008E48DB"/>
    <w:rsid w:val="008E7A72"/>
    <w:rsid w:val="008F00A8"/>
    <w:rsid w:val="008F3A61"/>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FF2"/>
    <w:rsid w:val="00934768"/>
    <w:rsid w:val="00935476"/>
    <w:rsid w:val="00935624"/>
    <w:rsid w:val="00935712"/>
    <w:rsid w:val="00936311"/>
    <w:rsid w:val="0094179F"/>
    <w:rsid w:val="009439B7"/>
    <w:rsid w:val="00944DF7"/>
    <w:rsid w:val="0094748B"/>
    <w:rsid w:val="00955531"/>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270B"/>
    <w:rsid w:val="009A47D0"/>
    <w:rsid w:val="009A6E30"/>
    <w:rsid w:val="009B19E3"/>
    <w:rsid w:val="009B1E46"/>
    <w:rsid w:val="009B325F"/>
    <w:rsid w:val="009B3DF3"/>
    <w:rsid w:val="009B690C"/>
    <w:rsid w:val="009C429F"/>
    <w:rsid w:val="009C6FBB"/>
    <w:rsid w:val="009C7295"/>
    <w:rsid w:val="009C7892"/>
    <w:rsid w:val="009C7E2D"/>
    <w:rsid w:val="009D1591"/>
    <w:rsid w:val="009D2257"/>
    <w:rsid w:val="009D2CB7"/>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2E06"/>
    <w:rsid w:val="00A13E22"/>
    <w:rsid w:val="00A14E59"/>
    <w:rsid w:val="00A160A2"/>
    <w:rsid w:val="00A176AA"/>
    <w:rsid w:val="00A21ABF"/>
    <w:rsid w:val="00A227E8"/>
    <w:rsid w:val="00A24B69"/>
    <w:rsid w:val="00A253F4"/>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64A40"/>
    <w:rsid w:val="00A709E9"/>
    <w:rsid w:val="00A71651"/>
    <w:rsid w:val="00A739F1"/>
    <w:rsid w:val="00A74D88"/>
    <w:rsid w:val="00A74E24"/>
    <w:rsid w:val="00A75F65"/>
    <w:rsid w:val="00A77E58"/>
    <w:rsid w:val="00A80316"/>
    <w:rsid w:val="00A813A5"/>
    <w:rsid w:val="00A85017"/>
    <w:rsid w:val="00A862B4"/>
    <w:rsid w:val="00A86404"/>
    <w:rsid w:val="00A87A83"/>
    <w:rsid w:val="00AA38CF"/>
    <w:rsid w:val="00AB2A51"/>
    <w:rsid w:val="00AB756A"/>
    <w:rsid w:val="00AC1D45"/>
    <w:rsid w:val="00AE0F51"/>
    <w:rsid w:val="00AE109B"/>
    <w:rsid w:val="00AE1AD2"/>
    <w:rsid w:val="00AE4FD3"/>
    <w:rsid w:val="00AE68A0"/>
    <w:rsid w:val="00AF1143"/>
    <w:rsid w:val="00AF3482"/>
    <w:rsid w:val="00AF4FB7"/>
    <w:rsid w:val="00AF51C5"/>
    <w:rsid w:val="00B00691"/>
    <w:rsid w:val="00B06408"/>
    <w:rsid w:val="00B07BBC"/>
    <w:rsid w:val="00B139F1"/>
    <w:rsid w:val="00B14A24"/>
    <w:rsid w:val="00B2233B"/>
    <w:rsid w:val="00B23A1C"/>
    <w:rsid w:val="00B26850"/>
    <w:rsid w:val="00B318C0"/>
    <w:rsid w:val="00B329F8"/>
    <w:rsid w:val="00B32A3F"/>
    <w:rsid w:val="00B34345"/>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3A6"/>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706F"/>
    <w:rsid w:val="00C0769A"/>
    <w:rsid w:val="00C07DE9"/>
    <w:rsid w:val="00C10731"/>
    <w:rsid w:val="00C11153"/>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6013A"/>
    <w:rsid w:val="00C61438"/>
    <w:rsid w:val="00C626FE"/>
    <w:rsid w:val="00C64F1D"/>
    <w:rsid w:val="00C67022"/>
    <w:rsid w:val="00C67780"/>
    <w:rsid w:val="00C739C9"/>
    <w:rsid w:val="00C747F4"/>
    <w:rsid w:val="00C774B0"/>
    <w:rsid w:val="00C835A6"/>
    <w:rsid w:val="00C90300"/>
    <w:rsid w:val="00C91B56"/>
    <w:rsid w:val="00C942F1"/>
    <w:rsid w:val="00C944BA"/>
    <w:rsid w:val="00C94EE8"/>
    <w:rsid w:val="00C970B9"/>
    <w:rsid w:val="00CA028A"/>
    <w:rsid w:val="00CA2163"/>
    <w:rsid w:val="00CA5707"/>
    <w:rsid w:val="00CB33BC"/>
    <w:rsid w:val="00CB40A1"/>
    <w:rsid w:val="00CB4542"/>
    <w:rsid w:val="00CB6641"/>
    <w:rsid w:val="00CC32FC"/>
    <w:rsid w:val="00CC7C0B"/>
    <w:rsid w:val="00CD1475"/>
    <w:rsid w:val="00CD1F5B"/>
    <w:rsid w:val="00CD62ED"/>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C52"/>
    <w:rsid w:val="00D922B7"/>
    <w:rsid w:val="00D968B2"/>
    <w:rsid w:val="00DA124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7FD3"/>
    <w:rsid w:val="00E11442"/>
    <w:rsid w:val="00E12ADE"/>
    <w:rsid w:val="00E13D11"/>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42EA"/>
    <w:rsid w:val="00EC7F1D"/>
    <w:rsid w:val="00ED0E40"/>
    <w:rsid w:val="00ED1210"/>
    <w:rsid w:val="00ED225D"/>
    <w:rsid w:val="00ED35B0"/>
    <w:rsid w:val="00ED40F1"/>
    <w:rsid w:val="00ED4DD3"/>
    <w:rsid w:val="00ED7E23"/>
    <w:rsid w:val="00EE1E5D"/>
    <w:rsid w:val="00EE3208"/>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AB0"/>
    <w:rsid w:val="00F65BA6"/>
    <w:rsid w:val="00F7530D"/>
    <w:rsid w:val="00F824C0"/>
    <w:rsid w:val="00F867C2"/>
    <w:rsid w:val="00F86FBD"/>
    <w:rsid w:val="00F873C4"/>
    <w:rsid w:val="00F90F75"/>
    <w:rsid w:val="00F92CAC"/>
    <w:rsid w:val="00F942E5"/>
    <w:rsid w:val="00F97D7C"/>
    <w:rsid w:val="00F97F9E"/>
    <w:rsid w:val="00FA0425"/>
    <w:rsid w:val="00FA384F"/>
    <w:rsid w:val="00FA40C1"/>
    <w:rsid w:val="00FB195C"/>
    <w:rsid w:val="00FB3AB4"/>
    <w:rsid w:val="00FC2025"/>
    <w:rsid w:val="00FC419B"/>
    <w:rsid w:val="00FC57EA"/>
    <w:rsid w:val="00FD0275"/>
    <w:rsid w:val="00FD478C"/>
    <w:rsid w:val="00FD55F3"/>
    <w:rsid w:val="00FD730B"/>
    <w:rsid w:val="00FD7CAD"/>
    <w:rsid w:val="00FE45EF"/>
    <w:rsid w:val="00FE5C67"/>
    <w:rsid w:val="00FE71F1"/>
    <w:rsid w:val="00FE779E"/>
    <w:rsid w:val="00FF0F19"/>
    <w:rsid w:val="00FF3198"/>
    <w:rsid w:val="00FF4286"/>
    <w:rsid w:val="00FF59DB"/>
    <w:rsid w:val="08191D6D"/>
    <w:rsid w:val="0E601EEA"/>
    <w:rsid w:val="0FE01D48"/>
    <w:rsid w:val="12D7558D"/>
    <w:rsid w:val="13883A9B"/>
    <w:rsid w:val="1B0903FC"/>
    <w:rsid w:val="294C203A"/>
    <w:rsid w:val="2DCA4427"/>
    <w:rsid w:val="302D2F5A"/>
    <w:rsid w:val="34B715BD"/>
    <w:rsid w:val="37A24B72"/>
    <w:rsid w:val="38686C22"/>
    <w:rsid w:val="3BBB7324"/>
    <w:rsid w:val="476C2F59"/>
    <w:rsid w:val="4B234021"/>
    <w:rsid w:val="4E8A4E70"/>
    <w:rsid w:val="51D86088"/>
    <w:rsid w:val="58FF2CBD"/>
    <w:rsid w:val="60B75004"/>
    <w:rsid w:val="614D7A91"/>
    <w:rsid w:val="62922CB5"/>
    <w:rsid w:val="637C0067"/>
    <w:rsid w:val="666C2141"/>
    <w:rsid w:val="730E3B0B"/>
    <w:rsid w:val="776658B3"/>
    <w:rsid w:val="79F96F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semiHidden="0" w:name="annotation text"/>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adjustRightInd w:val="0"/>
      <w:spacing w:before="340" w:after="330" w:line="576" w:lineRule="auto"/>
      <w:jc w:val="center"/>
      <w:outlineLvl w:val="0"/>
    </w:pPr>
    <w:rPr>
      <w:b/>
      <w:bCs/>
      <w:kern w:val="44"/>
      <w:sz w:val="30"/>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30"/>
    <w:qFormat/>
    <w:locked/>
    <w:uiPriority w:val="99"/>
    <w:pPr>
      <w:ind w:firstLine="420"/>
    </w:pPr>
    <w:rPr>
      <w:rFonts w:ascii="Calibri" w:hAnsi="Calibri"/>
    </w:rPr>
  </w:style>
  <w:style w:type="paragraph" w:styleId="4">
    <w:name w:val="annotation text"/>
    <w:basedOn w:val="1"/>
    <w:link w:val="18"/>
    <w:qFormat/>
    <w:uiPriority w:val="99"/>
    <w:pPr>
      <w:jc w:val="left"/>
    </w:pPr>
    <w:rPr>
      <w:rFonts w:ascii="Calibri" w:hAnsi="Calibri"/>
    </w:rPr>
  </w:style>
  <w:style w:type="paragraph" w:styleId="5">
    <w:name w:val="Body Text Indent"/>
    <w:basedOn w:val="1"/>
    <w:link w:val="19"/>
    <w:qFormat/>
    <w:locked/>
    <w:uiPriority w:val="99"/>
    <w:pPr>
      <w:tabs>
        <w:tab w:val="left" w:pos="900"/>
      </w:tabs>
      <w:adjustRightInd w:val="0"/>
      <w:spacing w:line="360" w:lineRule="auto"/>
      <w:ind w:firstLine="510"/>
    </w:pPr>
    <w:rPr>
      <w:rFonts w:ascii="宋体"/>
      <w:sz w:val="28"/>
    </w:rPr>
  </w:style>
  <w:style w:type="paragraph" w:styleId="6">
    <w:name w:val="Plain Text"/>
    <w:basedOn w:val="1"/>
    <w:link w:val="26"/>
    <w:qFormat/>
    <w:uiPriority w:val="99"/>
    <w:rPr>
      <w:rFonts w:ascii="宋体" w:hAnsi="Courier New"/>
      <w:kern w:val="0"/>
    </w:rPr>
  </w:style>
  <w:style w:type="paragraph" w:styleId="7">
    <w:name w:val="Balloon Text"/>
    <w:basedOn w:val="1"/>
    <w:link w:val="21"/>
    <w:semiHidden/>
    <w:qFormat/>
    <w:uiPriority w:val="99"/>
    <w:rPr>
      <w:sz w:val="18"/>
    </w:rPr>
  </w:style>
  <w:style w:type="paragraph" w:styleId="8">
    <w:name w:val="footer"/>
    <w:basedOn w:val="1"/>
    <w:link w:val="22"/>
    <w:qFormat/>
    <w:uiPriority w:val="99"/>
    <w:pPr>
      <w:tabs>
        <w:tab w:val="center" w:pos="4153"/>
        <w:tab w:val="right" w:pos="8306"/>
      </w:tabs>
      <w:snapToGrid w:val="0"/>
      <w:jc w:val="left"/>
    </w:pPr>
    <w:rPr>
      <w:kern w:val="0"/>
      <w:sz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annotation subject"/>
    <w:basedOn w:val="4"/>
    <w:next w:val="4"/>
    <w:link w:val="24"/>
    <w:semiHidden/>
    <w:qFormat/>
    <w:uiPriority w:val="99"/>
    <w:rPr>
      <w:rFonts w:ascii="Times New Roman" w:hAnsi="Times New Roman"/>
      <w:b/>
      <w:sz w:val="20"/>
    </w:rPr>
  </w:style>
  <w:style w:type="table" w:styleId="13">
    <w:name w:val="Table Grid"/>
    <w:basedOn w:val="12"/>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qFormat/>
    <w:uiPriority w:val="99"/>
    <w:rPr>
      <w:rFonts w:cs="Times New Roman"/>
    </w:rPr>
  </w:style>
  <w:style w:type="character" w:styleId="16">
    <w:name w:val="Hyperlink"/>
    <w:qFormat/>
    <w:locked/>
    <w:uiPriority w:val="99"/>
    <w:rPr>
      <w:rFonts w:cs="Times New Roman"/>
      <w:color w:val="0000FF"/>
      <w:u w:val="single"/>
    </w:rPr>
  </w:style>
  <w:style w:type="character" w:styleId="17">
    <w:name w:val="annotation reference"/>
    <w:semiHidden/>
    <w:qFormat/>
    <w:uiPriority w:val="99"/>
    <w:rPr>
      <w:rFonts w:cs="Times New Roman"/>
      <w:sz w:val="21"/>
    </w:rPr>
  </w:style>
  <w:style w:type="character" w:customStyle="1" w:styleId="18">
    <w:name w:val="批注文字 Char"/>
    <w:link w:val="4"/>
    <w:semiHidden/>
    <w:qFormat/>
    <w:locked/>
    <w:uiPriority w:val="99"/>
    <w:rPr>
      <w:rFonts w:eastAsia="宋体" w:cs="Times New Roman"/>
      <w:kern w:val="2"/>
      <w:sz w:val="21"/>
      <w:lang w:val="en-US" w:eastAsia="zh-CN"/>
    </w:rPr>
  </w:style>
  <w:style w:type="character" w:customStyle="1" w:styleId="19">
    <w:name w:val="正文文本缩进 Char"/>
    <w:link w:val="5"/>
    <w:semiHidden/>
    <w:qFormat/>
    <w:locked/>
    <w:uiPriority w:val="99"/>
    <w:rPr>
      <w:rFonts w:ascii="Times New Roman" w:hAnsi="Times New Roman" w:cs="Times New Roman"/>
      <w:sz w:val="20"/>
      <w:szCs w:val="20"/>
    </w:rPr>
  </w:style>
  <w:style w:type="character" w:customStyle="1" w:styleId="20">
    <w:name w:val="Plain Text Char"/>
    <w:qFormat/>
    <w:locked/>
    <w:uiPriority w:val="99"/>
    <w:rPr>
      <w:rFonts w:ascii="宋体" w:hAnsi="Courier New" w:eastAsia="宋体" w:cs="Times New Roman"/>
      <w:sz w:val="21"/>
    </w:rPr>
  </w:style>
  <w:style w:type="character" w:customStyle="1" w:styleId="21">
    <w:name w:val="批注框文本 Char"/>
    <w:link w:val="7"/>
    <w:semiHidden/>
    <w:qFormat/>
    <w:locked/>
    <w:uiPriority w:val="99"/>
    <w:rPr>
      <w:rFonts w:ascii="Times New Roman" w:hAnsi="Times New Roman" w:cs="Times New Roman"/>
      <w:kern w:val="2"/>
      <w:sz w:val="18"/>
    </w:rPr>
  </w:style>
  <w:style w:type="character" w:customStyle="1" w:styleId="22">
    <w:name w:val="页脚 Char"/>
    <w:link w:val="8"/>
    <w:qFormat/>
    <w:locked/>
    <w:uiPriority w:val="99"/>
    <w:rPr>
      <w:rFonts w:ascii="Times New Roman" w:hAnsi="Times New Roman" w:eastAsia="宋体" w:cs="Times New Roman"/>
      <w:sz w:val="18"/>
    </w:rPr>
  </w:style>
  <w:style w:type="character" w:customStyle="1" w:styleId="23">
    <w:name w:val="页眉 Char"/>
    <w:link w:val="9"/>
    <w:semiHidden/>
    <w:qFormat/>
    <w:locked/>
    <w:uiPriority w:val="99"/>
    <w:rPr>
      <w:rFonts w:ascii="Times New Roman" w:hAnsi="Times New Roman" w:eastAsia="宋体" w:cs="Times New Roman"/>
      <w:sz w:val="18"/>
    </w:rPr>
  </w:style>
  <w:style w:type="character" w:customStyle="1" w:styleId="24">
    <w:name w:val="批注主题 Char"/>
    <w:link w:val="11"/>
    <w:semiHidden/>
    <w:qFormat/>
    <w:locked/>
    <w:uiPriority w:val="99"/>
    <w:rPr>
      <w:rFonts w:ascii="Times New Roman" w:hAnsi="Times New Roman" w:eastAsia="宋体" w:cs="Times New Roman"/>
      <w:b/>
      <w:kern w:val="2"/>
      <w:sz w:val="20"/>
      <w:lang w:val="en-US" w:eastAsia="zh-CN"/>
    </w:rPr>
  </w:style>
  <w:style w:type="character" w:customStyle="1" w:styleId="25">
    <w:name w:val="Plain Text Char1"/>
    <w:semiHidden/>
    <w:qFormat/>
    <w:locked/>
    <w:uiPriority w:val="99"/>
    <w:rPr>
      <w:rFonts w:ascii="宋体" w:hAnsi="Courier New"/>
      <w:sz w:val="21"/>
    </w:rPr>
  </w:style>
  <w:style w:type="character" w:customStyle="1" w:styleId="26">
    <w:name w:val="纯文本 Char1"/>
    <w:link w:val="6"/>
    <w:semiHidden/>
    <w:qFormat/>
    <w:locked/>
    <w:uiPriority w:val="99"/>
    <w:rPr>
      <w:rFonts w:ascii="宋体" w:hAnsi="Courier New" w:eastAsia="宋体"/>
      <w:sz w:val="21"/>
    </w:rPr>
  </w:style>
  <w:style w:type="paragraph" w:styleId="27">
    <w:name w:val="List Paragraph"/>
    <w:basedOn w:val="1"/>
    <w:qFormat/>
    <w:uiPriority w:val="99"/>
    <w:pPr>
      <w:ind w:firstLine="420" w:firstLineChars="200"/>
    </w:pPr>
  </w:style>
  <w:style w:type="character" w:customStyle="1" w:styleId="28">
    <w:name w:val="纯文本 Char"/>
    <w:qFormat/>
    <w:uiPriority w:val="99"/>
    <w:rPr>
      <w:rFonts w:ascii="宋体" w:hAnsi="Courier New" w:eastAsia="宋体"/>
      <w:kern w:val="2"/>
      <w:sz w:val="21"/>
      <w:lang w:val="en-US" w:eastAsia="zh-CN"/>
    </w:rPr>
  </w:style>
  <w:style w:type="character" w:customStyle="1" w:styleId="29">
    <w:name w:val="Char Char3"/>
    <w:qFormat/>
    <w:uiPriority w:val="99"/>
    <w:rPr>
      <w:rFonts w:ascii="宋体" w:hAnsi="Courier New" w:eastAsia="宋体"/>
      <w:kern w:val="2"/>
      <w:sz w:val="21"/>
      <w:lang w:val="en-US" w:eastAsia="zh-CN"/>
    </w:rPr>
  </w:style>
  <w:style w:type="character" w:customStyle="1" w:styleId="30">
    <w:name w:val="正文缩进 Char"/>
    <w:link w:val="3"/>
    <w:qFormat/>
    <w:locked/>
    <w:uiPriority w:val="99"/>
    <w:rPr>
      <w:kern w:val="2"/>
      <w:sz w:val="21"/>
    </w:rPr>
  </w:style>
  <w:style w:type="character" w:customStyle="1" w:styleId="31">
    <w:name w:val="批注文字 Char1"/>
    <w:semiHidden/>
    <w:qFormat/>
    <w:locked/>
    <w:uiPriority w:val="99"/>
    <w:rPr>
      <w:rFonts w:ascii="Calibri" w:hAnsi="Calibri" w:eastAsia="宋体" w:cs="Times New Roman"/>
      <w:kern w:val="2"/>
      <w:sz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file:///C:\Users\kingmax\Documents\Tencent%252525252525252520Files\156576844\Image\C2C\D3E7095A30868AE1C0B05E1624B58921.jpg" TargetMode="Externa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2622</Words>
  <Characters>14952</Characters>
  <Lines>124</Lines>
  <Paragraphs>35</Paragraphs>
  <TotalTime>13</TotalTime>
  <ScaleCrop>false</ScaleCrop>
  <LinksUpToDate>false</LinksUpToDate>
  <CharactersWithSpaces>17539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2019-03-05T09:52:00Z</dcterms:created>
  <dc:creator>fan</dc:creator>
  <cp:lastModifiedBy>凌波</cp:lastModifiedBy>
  <cp:lastPrinted>2018-10-30T07:52:00Z</cp:lastPrinted>
  <dcterms:modified xsi:type="dcterms:W3CDTF">2019-07-03T02:07:38Z</dcterms:modified>
  <dc:title>淮阴工学院</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